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C219D">
        <w:rPr>
          <w:rFonts w:ascii="Arial" w:hAnsi="Arial" w:cs="Arial"/>
          <w:b/>
          <w:sz w:val="24"/>
          <w:szCs w:val="24"/>
          <w:u w:val="single"/>
        </w:rPr>
        <w:t xml:space="preserve">Finance Committee (FC) Meeting </w:t>
      </w:r>
    </w:p>
    <w:p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8F3509" w:rsidRPr="003C219D" w:rsidRDefault="00551581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F3509" w:rsidRPr="003C219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C51A9">
        <w:rPr>
          <w:rFonts w:ascii="Arial" w:hAnsi="Arial" w:cs="Arial"/>
          <w:b/>
          <w:sz w:val="24"/>
          <w:szCs w:val="24"/>
          <w:u w:val="single"/>
        </w:rPr>
        <w:t>19</w:t>
      </w:r>
      <w:r w:rsidR="00F45AE2" w:rsidRPr="003C219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C51A9">
        <w:rPr>
          <w:rFonts w:ascii="Arial" w:hAnsi="Arial" w:cs="Arial"/>
          <w:b/>
          <w:sz w:val="24"/>
          <w:szCs w:val="24"/>
          <w:u w:val="single"/>
        </w:rPr>
        <w:t>November</w:t>
      </w:r>
      <w:r w:rsidR="008F3509" w:rsidRPr="003C219D">
        <w:rPr>
          <w:rFonts w:ascii="Arial" w:hAnsi="Arial" w:cs="Arial"/>
          <w:b/>
          <w:sz w:val="24"/>
          <w:szCs w:val="24"/>
          <w:u w:val="single"/>
        </w:rPr>
        <w:t xml:space="preserve"> 2018 at 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0C51A9">
        <w:rPr>
          <w:rFonts w:ascii="Arial" w:hAnsi="Arial" w:cs="Arial"/>
          <w:b/>
          <w:sz w:val="24"/>
          <w:szCs w:val="24"/>
          <w:u w:val="single"/>
        </w:rPr>
        <w:t>1.30a</w:t>
      </w:r>
      <w:r w:rsidR="008F3509" w:rsidRPr="003C219D">
        <w:rPr>
          <w:rFonts w:ascii="Arial" w:hAnsi="Arial" w:cs="Arial"/>
          <w:b/>
          <w:sz w:val="24"/>
          <w:szCs w:val="24"/>
          <w:u w:val="single"/>
        </w:rPr>
        <w:t>m</w:t>
      </w:r>
    </w:p>
    <w:p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3C219D">
        <w:rPr>
          <w:rFonts w:ascii="Arial" w:hAnsi="Arial" w:cs="Arial"/>
          <w:b/>
          <w:sz w:val="24"/>
          <w:szCs w:val="24"/>
          <w:u w:val="single"/>
        </w:rPr>
        <w:t>Minutes</w:t>
      </w:r>
    </w:p>
    <w:p w:rsidR="008F3509" w:rsidRPr="003C219D" w:rsidRDefault="008F3509" w:rsidP="008F3509">
      <w:pPr>
        <w:spacing w:after="0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2331" w:type="dxa"/>
        <w:tblInd w:w="-601" w:type="dxa"/>
        <w:tblLook w:val="00A0" w:firstRow="1" w:lastRow="0" w:firstColumn="1" w:lastColumn="0" w:noHBand="0" w:noVBand="0"/>
      </w:tblPr>
      <w:tblGrid>
        <w:gridCol w:w="12158"/>
        <w:gridCol w:w="222"/>
      </w:tblGrid>
      <w:tr w:rsidR="008F3509" w:rsidRPr="003C219D" w:rsidTr="004377BE">
        <w:tc>
          <w:tcPr>
            <w:tcW w:w="12109" w:type="dxa"/>
          </w:tcPr>
          <w:tbl>
            <w:tblPr>
              <w:tblW w:w="11942" w:type="dxa"/>
              <w:tblLook w:val="00A0" w:firstRow="1" w:lastRow="0" w:firstColumn="1" w:lastColumn="0" w:noHBand="0" w:noVBand="0"/>
            </w:tblPr>
            <w:tblGrid>
              <w:gridCol w:w="3720"/>
              <w:gridCol w:w="8222"/>
            </w:tblGrid>
            <w:tr w:rsidR="008F3509" w:rsidRPr="003C219D" w:rsidTr="00B5447B">
              <w:tc>
                <w:tcPr>
                  <w:tcW w:w="3720" w:type="dxa"/>
                </w:tcPr>
                <w:p w:rsidR="008F3509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Attendees</w:t>
                  </w:r>
                  <w:r w:rsidR="008D369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Dundonald House</w:t>
                  </w:r>
                </w:p>
                <w:p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D369F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B02B78" w:rsidRDefault="00B02B78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D369F" w:rsidRPr="003C219D" w:rsidRDefault="008D369F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Attendees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Ballykelly House</w:t>
                  </w:r>
                </w:p>
              </w:tc>
              <w:tc>
                <w:tcPr>
                  <w:tcW w:w="8222" w:type="dxa"/>
                </w:tcPr>
                <w:p w:rsidR="008D369F" w:rsidRDefault="00F91903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Seamus McErlean</w:t>
                  </w:r>
                </w:p>
                <w:p w:rsidR="00551581" w:rsidRPr="003C219D" w:rsidRDefault="00551581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David Small</w:t>
                  </w:r>
                </w:p>
                <w:p w:rsidR="008D369F" w:rsidRDefault="008D369F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Roger Downey </w:t>
                  </w:r>
                </w:p>
                <w:p w:rsidR="000C51A9" w:rsidRDefault="000C51A9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Declan McCarney</w:t>
                  </w:r>
                </w:p>
                <w:p w:rsidR="000C51A9" w:rsidRDefault="000C51A9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Alistair Carson</w:t>
                  </w:r>
                </w:p>
                <w:p w:rsidR="008D369F" w:rsidRDefault="000C51A9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Leahann Donnelly</w:t>
                  </w:r>
                  <w:r w:rsidR="008D369F"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(Secretariat)</w:t>
                  </w:r>
                </w:p>
                <w:p w:rsidR="009A727B" w:rsidRDefault="009A727B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0C51A9" w:rsidRDefault="000C51A9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Fiona McCandless</w:t>
                  </w:r>
                </w:p>
                <w:p w:rsidR="008D369F" w:rsidRDefault="008D369F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David Reid</w:t>
                  </w:r>
                </w:p>
                <w:p w:rsidR="009A727B" w:rsidRPr="003C219D" w:rsidRDefault="009A727B" w:rsidP="008D369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Robert Huey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               </w:t>
                  </w:r>
                </w:p>
              </w:tc>
            </w:tr>
            <w:tr w:rsidR="008F3509" w:rsidRPr="003C219D" w:rsidTr="00B5447B">
              <w:tc>
                <w:tcPr>
                  <w:tcW w:w="3720" w:type="dxa"/>
                </w:tcPr>
                <w:p w:rsidR="008F3509" w:rsidRPr="003C219D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8F3509" w:rsidRPr="003C219D" w:rsidRDefault="00F45AE2" w:rsidP="002354B2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Brian Doherty</w:t>
                  </w:r>
                </w:p>
              </w:tc>
            </w:tr>
            <w:tr w:rsidR="008F3509" w:rsidRPr="003C219D" w:rsidTr="00B5447B">
              <w:tc>
                <w:tcPr>
                  <w:tcW w:w="3720" w:type="dxa"/>
                </w:tcPr>
                <w:p w:rsidR="008F3509" w:rsidRPr="003C219D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8F3509" w:rsidRPr="003C219D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:rsidTr="00B5447B">
              <w:tc>
                <w:tcPr>
                  <w:tcW w:w="3720" w:type="dxa"/>
                </w:tcPr>
                <w:p w:rsidR="008F3509" w:rsidRPr="003C219D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Apologies</w:t>
                  </w:r>
                </w:p>
              </w:tc>
              <w:tc>
                <w:tcPr>
                  <w:tcW w:w="8222" w:type="dxa"/>
                </w:tcPr>
                <w:p w:rsidR="00F91903" w:rsidRDefault="00F91903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Norman Fulton (Seamus McErlean deputising)</w:t>
                  </w:r>
                </w:p>
                <w:p w:rsidR="008F3509" w:rsidRPr="003C219D" w:rsidRDefault="008F3509" w:rsidP="000C51A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:rsidTr="00B5447B">
              <w:tc>
                <w:tcPr>
                  <w:tcW w:w="3720" w:type="dxa"/>
                </w:tcPr>
                <w:p w:rsidR="008F3509" w:rsidRPr="003C219D" w:rsidRDefault="008F3509" w:rsidP="008F3509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</w:tcPr>
                <w:p w:rsidR="008F3509" w:rsidRPr="003C219D" w:rsidRDefault="008F3509" w:rsidP="008F3509">
                  <w:pPr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F3509" w:rsidRPr="003C219D" w:rsidRDefault="008F3509" w:rsidP="008F350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8F3509" w:rsidRPr="003C219D" w:rsidRDefault="008F3509" w:rsidP="008F3509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3509" w:rsidRPr="003C219D" w:rsidTr="004377BE">
        <w:tc>
          <w:tcPr>
            <w:tcW w:w="12109" w:type="dxa"/>
          </w:tcPr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0"/>
              <w:gridCol w:w="7796"/>
              <w:gridCol w:w="1701"/>
            </w:tblGrid>
            <w:tr w:rsidR="008F3509" w:rsidRPr="003C219D" w:rsidTr="004377BE">
              <w:trPr>
                <w:cantSplit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ind w:right="-108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tabs>
                      <w:tab w:val="center" w:pos="4513"/>
                      <w:tab w:val="right" w:pos="9026"/>
                    </w:tabs>
                    <w:spacing w:after="0"/>
                    <w:ind w:right="-108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Paper Reference /  Action Owner</w:t>
                  </w: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numPr>
                      <w:ilvl w:val="0"/>
                      <w:numId w:val="1"/>
                    </w:numPr>
                    <w:spacing w:after="0"/>
                    <w:ind w:left="0" w:right="-108" w:firstLine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Welcome and apologies </w:t>
                  </w:r>
                </w:p>
                <w:p w:rsidR="008F3509" w:rsidRPr="003C219D" w:rsidRDefault="008F3509" w:rsidP="002354B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Minutes</w:t>
                  </w:r>
                  <w:r w:rsidR="002354B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and Action Points</w:t>
                  </w: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2354B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from</w:t>
                  </w: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Previous Meeting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Default="00551581" w:rsidP="00B02B78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FC 2</w:t>
                  </w:r>
                  <w:r w:rsidR="00B02B78">
                    <w:rPr>
                      <w:rFonts w:ascii="Arial" w:hAnsi="Arial" w:cs="Arial"/>
                      <w:b/>
                      <w:sz w:val="24"/>
                      <w:szCs w:val="24"/>
                    </w:rPr>
                    <w:t>7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/18</w:t>
                  </w:r>
                </w:p>
                <w:p w:rsidR="00B02B78" w:rsidRPr="003C219D" w:rsidRDefault="00B02B78" w:rsidP="00B02B78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FC 28/18</w:t>
                  </w:r>
                </w:p>
              </w:tc>
            </w:tr>
            <w:tr w:rsidR="008F3509" w:rsidRPr="003C219D" w:rsidTr="004377BE">
              <w:trPr>
                <w:trHeight w:val="1300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Chair welcomed members to the meeting.</w:t>
                  </w: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C06467" w:rsidRDefault="008F3509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previous minutes were agreed without amendment.</w:t>
                  </w:r>
                  <w:r w:rsidR="0092378C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B02B78" w:rsidRDefault="00B02B78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B02B78" w:rsidRDefault="00B02B78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David Reid confirmed that the action point from the previous meeting has been completed on 8 November 2018.</w:t>
                  </w:r>
                </w:p>
                <w:p w:rsidR="00B02B78" w:rsidRPr="003C219D" w:rsidRDefault="00B02B78" w:rsidP="00590D1D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numPr>
                      <w:ilvl w:val="0"/>
                      <w:numId w:val="1"/>
                    </w:numPr>
                    <w:spacing w:after="0"/>
                    <w:ind w:left="0" w:firstLine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EA418F" w:rsidRDefault="00B02B78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Update on Budget 2019/21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B02B78" w:rsidP="009A727B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29</w:t>
                  </w:r>
                  <w:r w:rsidR="008F3509"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/18</w:t>
                  </w: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6E61" w:rsidRPr="003C219D" w:rsidRDefault="00F96E61" w:rsidP="00360F08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B02B78" w:rsidRDefault="00E870E7" w:rsidP="00B02B78">
                  <w:p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Declan McCarney</w:t>
                  </w:r>
                  <w:r w:rsidR="00B02B78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presented the paper</w:t>
                  </w:r>
                  <w:r w:rsidR="0001728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B02B7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and</w:t>
                  </w:r>
                  <w:r w:rsidR="00B02B78"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B02B7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discussed the latest Resource position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. </w:t>
                  </w:r>
                  <w:r w:rsidR="003228C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Mr McCarney highlighted the key pressures</w:t>
                  </w:r>
                  <w:r w:rsidR="00300CF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for next year.  These pressures include pay inflation, TB Compensation, </w:t>
                  </w:r>
                  <w:r w:rsidR="0001728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Mo</w:t>
                  </w:r>
                  <w:r w:rsidR="00300CF6">
                    <w:rPr>
                      <w:rFonts w:ascii="Arial" w:hAnsi="Arial" w:cs="Arial"/>
                      <w:bCs/>
                      <w:sz w:val="24"/>
                      <w:szCs w:val="24"/>
                    </w:rPr>
                    <w:t>buoy illegal landfill, Brexit, increases to Employer Pension Contributions and TRPSI</w:t>
                  </w:r>
                  <w:r w:rsidR="0001728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.  DAERA provided an update to DoF on the 9 November that we are on track to deliver the saving required to live within our £189.9m Resource Budget on the assumption that </w:t>
                  </w:r>
                  <w:r w:rsidR="003A2BBA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Treasury will fund Brexit and Employers pension contributions </w:t>
                  </w:r>
                  <w:r w:rsidR="0001728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pressures </w:t>
                  </w:r>
                  <w:r w:rsidR="003A2BBA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and that £1.8m will be provided from Confidence and Supply funds for TRPSI. </w:t>
                  </w:r>
                  <w:r w:rsidR="003228C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EA418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David Reid highlighted that this funding is not guaranteed. </w:t>
                  </w:r>
                  <w:r w:rsidR="003228C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EA418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Committee discussed the uncertainty of the funding position.</w:t>
                  </w:r>
                </w:p>
                <w:p w:rsidR="00D21DE8" w:rsidRDefault="00E64C4F" w:rsidP="00B02B78">
                  <w:pPr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Committee</w:t>
                  </w:r>
                  <w:r w:rsidR="00A401E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also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discussed revenue raising and the issue of Tuition Fees. </w:t>
                  </w:r>
                  <w:r w:rsidR="00E9767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C97E79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Mr McCarney advised that the </w:t>
                  </w:r>
                  <w:r w:rsidR="00D21DE8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DoF consultation on Tuition </w:t>
                  </w:r>
                  <w:r w:rsidR="00A401E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F</w:t>
                  </w:r>
                  <w:r w:rsidR="00D21DE8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ees </w:t>
                  </w:r>
                  <w:r w:rsidR="00A401E5">
                    <w:rPr>
                      <w:rFonts w:ascii="Arial" w:hAnsi="Arial" w:cs="Arial"/>
                      <w:bCs/>
                      <w:sz w:val="24"/>
                      <w:szCs w:val="24"/>
                    </w:rPr>
                    <w:lastRenderedPageBreak/>
                    <w:t>i</w:t>
                  </w:r>
                  <w:r w:rsidR="00BE42E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s not being</w:t>
                  </w:r>
                  <w:r w:rsidR="00A401E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taken forward as planned </w:t>
                  </w:r>
                  <w:r w:rsidR="00C97E7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and that DAERA is considering progressing this independently.</w:t>
                  </w:r>
                  <w:r w:rsidR="00EA418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3228C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B02B78" w:rsidRDefault="00EA418F" w:rsidP="00B02B78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Mr McCarney </w:t>
                  </w:r>
                  <w:r w:rsidR="00E9767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advised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Capital Bids of £10</w:t>
                  </w:r>
                  <w:r w:rsidR="0001728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m and £150m for the next two years are due to slippages in DSD, the AFBI Research Vessel and NIFAIS. </w:t>
                  </w:r>
                </w:p>
                <w:p w:rsidR="00B02B78" w:rsidRDefault="00B02B78" w:rsidP="00B02B78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E3516A" w:rsidRDefault="00B02B78" w:rsidP="00EA418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FC noted the contents of the paper.</w:t>
                  </w:r>
                </w:p>
                <w:p w:rsidR="00EA418F" w:rsidRPr="00EA418F" w:rsidRDefault="00EA418F" w:rsidP="00EA418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316F8D" w:rsidRDefault="00316F8D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8F3509" w:rsidRPr="00E3516A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02B78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2B78" w:rsidRPr="003C219D" w:rsidRDefault="00B02B78" w:rsidP="00EA418F">
                  <w:pPr>
                    <w:numPr>
                      <w:ilvl w:val="0"/>
                      <w:numId w:val="1"/>
                    </w:numPr>
                    <w:spacing w:after="0"/>
                    <w:ind w:left="0" w:right="-108" w:firstLine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2B78" w:rsidRPr="00B02B78" w:rsidRDefault="00B02B78" w:rsidP="00360F08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B02B7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AFBI Finance Paper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2B78" w:rsidRPr="00B02B78" w:rsidRDefault="00B02B78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B02B7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FC30/18</w:t>
                  </w:r>
                </w:p>
              </w:tc>
            </w:tr>
            <w:tr w:rsidR="00B02B78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2B78" w:rsidRPr="003C219D" w:rsidRDefault="00B02B78" w:rsidP="00EA418F">
                  <w:pPr>
                    <w:spacing w:after="0"/>
                    <w:ind w:right="-108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2B78" w:rsidRDefault="00B02B78" w:rsidP="00360F08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B02B78" w:rsidRDefault="00B02B78" w:rsidP="00B02B78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Alistair Carson presented the paper and discussed the considerable underspend on R&amp;D Capital.</w:t>
                  </w:r>
                </w:p>
                <w:p w:rsidR="00B02B78" w:rsidRDefault="00B02B78" w:rsidP="00B02B78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B02B78" w:rsidRDefault="00254704" w:rsidP="00B02B78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The Committee discussed their concerns regarding </w:t>
                  </w:r>
                  <w:r w:rsidR="009E744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financial management in AFBI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  <w:p w:rsidR="009E744D" w:rsidRDefault="009E744D" w:rsidP="00B02B78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9E744D" w:rsidRDefault="009E744D" w:rsidP="00CC7EF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Mr Carson advised that AFBI face</w:t>
                  </w:r>
                  <w:r w:rsidR="00E9767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d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 number of uncertainties, particularly in respect of Income, which make</w:t>
                  </w:r>
                  <w:r w:rsidR="00CC7EF6">
                    <w:rPr>
                      <w:rFonts w:ascii="Arial" w:hAnsi="Arial" w:cs="Arial"/>
                      <w:bCs/>
                      <w:sz w:val="24"/>
                      <w:szCs w:val="24"/>
                    </w:rPr>
                    <w:t>s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forecasting difficult. </w:t>
                  </w:r>
                  <w:r w:rsidR="003228C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CC7EF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The Committee discussed the challenges faced by AFBI and emphasised the need for short lines of communication. </w:t>
                  </w:r>
                  <w:r w:rsidR="003C2F49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Mr Carson confirmed that AFBI were managing the challenges as best as they possibly </w:t>
                  </w:r>
                  <w:r w:rsidR="00254704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could and that the area of financial management was now included in the Financial Systems Management Plan, the progress of which is reported to ARAC.</w:t>
                  </w:r>
                  <w:r w:rsidR="003228C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Robert Huey noted that the explanations provided in the paper were not satisfactory.</w:t>
                  </w:r>
                  <w:r w:rsidR="00CC7EF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3228C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CC7EF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David Reid confirmed that he met with AFBI and that they are aware of </w:t>
                  </w:r>
                  <w:r w:rsidR="0001728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level of financial management that</w:t>
                  </w:r>
                  <w:r w:rsidR="00CC7EF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is expected of them.</w:t>
                  </w:r>
                </w:p>
                <w:p w:rsidR="00CC7EF6" w:rsidRPr="003C219D" w:rsidRDefault="00CC7EF6" w:rsidP="00CC7EF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2B78" w:rsidRPr="003C219D" w:rsidRDefault="00B02B78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EA418F" w:rsidP="00EA41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EA418F" w:rsidP="00EA41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A418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January</w:t>
                  </w:r>
                  <w:r w:rsidR="00B02B78" w:rsidRPr="00EA418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Monitoring Round 2018/19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485C60" w:rsidP="00EA418F">
                  <w:pPr>
                    <w:spacing w:after="0"/>
                    <w:jc w:val="lef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FC </w:t>
                  </w:r>
                  <w:r w:rsidR="00B02B7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</w:t>
                  </w:r>
                  <w:r w:rsidR="00EA418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/18</w:t>
                  </w:r>
                  <w:r w:rsidR="008F3509"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418F" w:rsidRDefault="00EA418F" w:rsidP="00EA41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3C2F49" w:rsidRDefault="00B02B78" w:rsidP="00EA418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EA418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Ro</w:t>
                  </w:r>
                  <w:r w:rsidR="00FA433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ger Downey presen</w:t>
                  </w:r>
                  <w:r w:rsidR="003C2F49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ted the paper.</w:t>
                  </w:r>
                </w:p>
                <w:p w:rsidR="003C2F49" w:rsidRDefault="003C2F49" w:rsidP="00EA418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3228C3" w:rsidRDefault="003C2F49" w:rsidP="00EA418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Mr Downey </w:t>
                  </w:r>
                  <w:r w:rsidR="00E9767D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discussed the Resource position and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highlighted the salary easements </w:t>
                  </w:r>
                  <w:r w:rsidR="00A401E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as well as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TB and Brexit pressures.  The FC discussed the Resource proposals</w:t>
                  </w:r>
                  <w:r w:rsidR="00A401E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current uncertainties</w:t>
                  </w:r>
                  <w:r w:rsidR="00BC669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and the level of easement to be surrendered to DoF.  Given the uncertainties around disallowance and the potential for further slippage as the year progresses</w:t>
                  </w:r>
                  <w:r w:rsidR="00C00B74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</w:t>
                  </w:r>
                  <w:r w:rsidR="00BC669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FC agreed to surrender budget to DoF to leave a £1m overcommitment in Resource in line with prior years.  </w:t>
                  </w:r>
                </w:p>
                <w:p w:rsidR="003228C3" w:rsidRDefault="003228C3" w:rsidP="00EA418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B02B78" w:rsidRPr="00EA418F" w:rsidRDefault="00B02B78" w:rsidP="009C1157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EA418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The FC discussed the </w:t>
                  </w:r>
                  <w:r w:rsidR="009C1157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Capital position in detail and the uncertainties especially around Royalty Income in AFBI</w:t>
                  </w:r>
                  <w:r w:rsidR="00A401E5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  T</w:t>
                  </w:r>
                  <w:r w:rsidR="009C1157">
                    <w:rPr>
                      <w:rFonts w:ascii="Arial" w:hAnsi="Arial" w:cs="Arial"/>
                      <w:bCs/>
                      <w:sz w:val="24"/>
                      <w:szCs w:val="24"/>
                    </w:rPr>
                    <w:t>he FC agreed to surrender budget to DoF to leave a Capital overcommitment of £1.5m in line with prior years.  Mr Downey highlighted the importance of every business area having a contingency plan to ensure that they spend</w:t>
                  </w:r>
                  <w:r w:rsidR="00A401E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out</w:t>
                  </w:r>
                  <w:r w:rsidR="009C1157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their Capital budget allocations.</w:t>
                  </w:r>
                </w:p>
                <w:p w:rsidR="008F3509" w:rsidRDefault="008F3509" w:rsidP="00EA418F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9C1157" w:rsidRDefault="009C1157" w:rsidP="009C1157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FC agreed that the Resource and Capital positions should be monitored over the next few weeks and that</w:t>
                  </w:r>
                  <w:r w:rsidR="00A401E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any amendments to the surrenders should be submitted to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FC </w:t>
                  </w:r>
                  <w:r w:rsidR="00A401E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by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correspondence</w:t>
                  </w:r>
                  <w:r w:rsidR="00A401E5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for approval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  <w:p w:rsidR="00E44216" w:rsidRDefault="00E44216" w:rsidP="009C1157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A401E5" w:rsidRDefault="00A401E5" w:rsidP="009C1157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E44216" w:rsidRDefault="00E44216" w:rsidP="009C1157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3516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Action Points</w:t>
                  </w:r>
                </w:p>
                <w:p w:rsidR="00E44216" w:rsidRDefault="00E44216" w:rsidP="009C1157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E44216" w:rsidRDefault="00E44216" w:rsidP="00E4421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Financial </w:t>
                  </w:r>
                  <w:r w:rsidRPr="00E442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Planning Branch to monitor the Resource and Capital </w:t>
                  </w:r>
                  <w:r w:rsidR="00E9767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budget </w:t>
                  </w:r>
                  <w:r w:rsidRPr="00E442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positions over the next few weeks and </w:t>
                  </w:r>
                  <w:r w:rsidR="00A401E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submit</w:t>
                  </w:r>
                  <w:r w:rsidR="00A401E5" w:rsidRPr="00BE31B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any amendments to the surrenders to the FC </w:t>
                  </w:r>
                  <w:r w:rsidR="00BE42E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for approval </w:t>
                  </w:r>
                  <w:r w:rsidR="00A401E5" w:rsidRPr="00BE31B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by correspondence</w:t>
                  </w:r>
                  <w:r w:rsidRPr="00E442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491DBF" w:rsidRPr="00EA418F" w:rsidRDefault="00491DBF" w:rsidP="00E4421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1E8F" w:rsidRDefault="00BA1E8F" w:rsidP="003509B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BA1E8F" w:rsidRDefault="00BA1E8F" w:rsidP="003509B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BA1E8F" w:rsidRDefault="00BA1E8F" w:rsidP="003509B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BA1E8F" w:rsidRDefault="00BA1E8F" w:rsidP="003509B6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151D63" w:rsidRDefault="00151D63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9C1157" w:rsidRDefault="009C1157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9C1157" w:rsidRDefault="009C1157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9C1157" w:rsidRDefault="009C1157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9C1157" w:rsidRDefault="009C1157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9C1157" w:rsidRDefault="009C1157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9C1157" w:rsidRDefault="009C1157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9C1157" w:rsidRDefault="009C1157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9C1157" w:rsidRDefault="009C1157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9C1157" w:rsidRDefault="009C1157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9C1157" w:rsidRDefault="009C1157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9C1157" w:rsidRDefault="009C1157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9C1157" w:rsidRDefault="009C1157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9C1157" w:rsidRDefault="009C1157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E44216" w:rsidRDefault="00E44216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E44216" w:rsidRDefault="00E44216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E44216" w:rsidRDefault="00E44216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E44216" w:rsidRDefault="00E44216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E44216" w:rsidRDefault="00E44216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E44216" w:rsidRDefault="00E44216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9C1157" w:rsidRPr="00F925BA" w:rsidRDefault="009C1157" w:rsidP="003509B6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Roger Downey</w:t>
                  </w: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EA418F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5</w:t>
                  </w:r>
                  <w:r w:rsidR="008F3509"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E44216" w:rsidRDefault="002141CD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442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RDP Modification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2141CD" w:rsidP="002141CD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32</w:t>
                  </w:r>
                  <w:r w:rsidR="00511440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/18</w:t>
                  </w: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1440" w:rsidRDefault="00511440" w:rsidP="00F96E61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44216" w:rsidRDefault="00E44216" w:rsidP="00F96E61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Declan McCarney </w:t>
                  </w:r>
                  <w:r w:rsidR="00511440">
                    <w:rPr>
                      <w:rFonts w:ascii="Arial" w:hAnsi="Arial" w:cs="Arial"/>
                      <w:sz w:val="24"/>
                      <w:szCs w:val="24"/>
                    </w:rPr>
                    <w:t xml:space="preserve">presented the paper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and the FC discussed the </w:t>
                  </w:r>
                  <w:r w:rsidR="009874A5">
                    <w:rPr>
                      <w:rFonts w:ascii="Arial" w:hAnsi="Arial" w:cs="Arial"/>
                      <w:sz w:val="24"/>
                      <w:szCs w:val="24"/>
                    </w:rPr>
                    <w:t xml:space="preserve">CAP Management Board </w:t>
                  </w:r>
                  <w:r w:rsidR="00E9767D">
                    <w:rPr>
                      <w:rFonts w:ascii="Arial" w:hAnsi="Arial" w:cs="Arial"/>
                      <w:sz w:val="24"/>
                      <w:szCs w:val="24"/>
                    </w:rPr>
                    <w:t xml:space="preserve">recommended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modification to the programme</w:t>
                  </w:r>
                  <w:r w:rsidR="009874A5">
                    <w:rPr>
                      <w:rFonts w:ascii="Arial" w:hAnsi="Arial" w:cs="Arial"/>
                      <w:sz w:val="24"/>
                      <w:szCs w:val="24"/>
                    </w:rPr>
                    <w:t xml:space="preserve"> and the financial implications</w:t>
                  </w:r>
                  <w:r w:rsidR="006A3CB4">
                    <w:rPr>
                      <w:rFonts w:ascii="Arial" w:hAnsi="Arial" w:cs="Arial"/>
                      <w:sz w:val="24"/>
                      <w:szCs w:val="24"/>
                    </w:rPr>
                    <w:t>,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the challenges of demand led schemes and the ability to spend under the scheme.</w:t>
                  </w:r>
                </w:p>
                <w:p w:rsidR="00F05765" w:rsidRDefault="00F05765" w:rsidP="00F96E61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96E61" w:rsidRDefault="00511440" w:rsidP="006A3CB4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FC noted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contents of the paper and </w:t>
                  </w:r>
                  <w:r w:rsidR="006A3CB4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agreed to proceed with the recommendation.</w:t>
                  </w:r>
                </w:p>
                <w:p w:rsidR="00491DBF" w:rsidRPr="003C219D" w:rsidRDefault="00491DBF" w:rsidP="006A3CB4">
                  <w:pPr>
                    <w:spacing w:after="0"/>
                    <w:contextualSpacing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22E9" w:rsidRDefault="004722E9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7C06" w:rsidRDefault="00207C06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A4623A" w:rsidRPr="003C219D" w:rsidRDefault="00A4623A" w:rsidP="00BA1E8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6A3CB4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6</w:t>
                  </w:r>
                  <w:r w:rsidR="008F3509"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6A3CB4" w:rsidP="008F3509">
                  <w:pPr>
                    <w:keepNext/>
                    <w:spacing w:after="0"/>
                    <w:jc w:val="left"/>
                    <w:outlineLvl w:val="1"/>
                    <w:rPr>
                      <w:rFonts w:ascii="Arial" w:eastAsia="Times New Roman" w:hAnsi="Arial" w:cs="Arial"/>
                      <w:b/>
                      <w:bCs/>
                      <w:iCs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Cs/>
                      <w:sz w:val="24"/>
                      <w:szCs w:val="24"/>
                      <w:lang w:eastAsia="en-GB"/>
                    </w:rPr>
                    <w:t>FC Terms of Reference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6A3CB4" w:rsidP="006A3CB4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33</w:t>
                  </w:r>
                  <w:r w:rsidR="00B2294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/18</w:t>
                  </w: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B2294D" w:rsidRDefault="006A3CB4" w:rsidP="00B2294D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Roger Downey</w:t>
                  </w:r>
                  <w:r w:rsidR="00B2294D" w:rsidRPr="003C219D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B2294D">
                    <w:rPr>
                      <w:rFonts w:ascii="Arial" w:hAnsi="Arial" w:cs="Arial"/>
                      <w:sz w:val="24"/>
                      <w:szCs w:val="24"/>
                    </w:rPr>
                    <w:t xml:space="preserve">presented the paper </w:t>
                  </w:r>
                  <w:r w:rsidR="00491DBF">
                    <w:rPr>
                      <w:rFonts w:ascii="Arial" w:hAnsi="Arial" w:cs="Arial"/>
                      <w:sz w:val="24"/>
                      <w:szCs w:val="24"/>
                    </w:rPr>
                    <w:t>to the FC.  The FC agreed to accept the updated Terms of Reference.</w:t>
                  </w:r>
                  <w:r w:rsidR="00B2294D"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62D63" w:rsidRDefault="00662D63" w:rsidP="00662D63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</w:p>
                <w:p w:rsidR="00445581" w:rsidRPr="00A401E5" w:rsidRDefault="00445581" w:rsidP="00445581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401E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Action Points</w:t>
                  </w:r>
                </w:p>
                <w:p w:rsidR="00DE266D" w:rsidRPr="00BE31BB" w:rsidRDefault="00DE266D" w:rsidP="00445581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445581" w:rsidRDefault="00445581" w:rsidP="00662D63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BE31B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Financial Planning to check the reporting requirements of the Finance Committee to the Board</w:t>
                  </w:r>
                </w:p>
                <w:p w:rsidR="00A401E5" w:rsidRPr="003C219D" w:rsidRDefault="00A401E5" w:rsidP="00662D63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8F3509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45581" w:rsidRDefault="00445581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45581" w:rsidRDefault="00445581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A401E5" w:rsidRDefault="00A401E5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445581" w:rsidRPr="003C219D" w:rsidRDefault="00445581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Roger Downey</w:t>
                  </w: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491DBF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7</w:t>
                  </w:r>
                  <w:r w:rsidR="008F3509"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491DBF" w:rsidRDefault="00491DBF" w:rsidP="00491DBF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Papers to Note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F3509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Pr="003C219D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91DBF" w:rsidRDefault="00491DBF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FC note</w:t>
                  </w:r>
                  <w:r w:rsidR="00E9767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d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following papers:</w:t>
                  </w:r>
                </w:p>
                <w:p w:rsidR="00E9767D" w:rsidRDefault="00E9767D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91DBF" w:rsidRPr="00491DBF" w:rsidRDefault="00491DBF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491DBF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Direct Award Contracts (DACs) </w:t>
                  </w:r>
                </w:p>
                <w:p w:rsidR="00491DBF" w:rsidRPr="00491DBF" w:rsidRDefault="00491DBF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491DBF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Procurement Compliance</w:t>
                  </w:r>
                </w:p>
                <w:p w:rsidR="00491DBF" w:rsidRDefault="00491DBF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</w:pPr>
                  <w:r w:rsidRPr="00491DBF"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Aged Debt Report</w:t>
                  </w:r>
                </w:p>
                <w:p w:rsidR="00491DBF" w:rsidRDefault="00491DBF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>Post Project Evaluation</w:t>
                  </w:r>
                </w:p>
                <w:p w:rsidR="00B2294D" w:rsidRPr="003C219D" w:rsidRDefault="00B2294D" w:rsidP="00491DBF">
                  <w:pPr>
                    <w:spacing w:after="0"/>
                    <w:contextualSpacing/>
                    <w:jc w:val="both"/>
                    <w:outlineLvl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509" w:rsidRDefault="008F3509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91DBF" w:rsidRDefault="00491DBF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E9767D" w:rsidRDefault="00E9767D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491DBF" w:rsidRDefault="00491DBF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34/18</w:t>
                  </w:r>
                </w:p>
                <w:p w:rsidR="00491DBF" w:rsidRDefault="00491DBF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35/18</w:t>
                  </w:r>
                </w:p>
                <w:p w:rsidR="00491DBF" w:rsidRDefault="00491DBF" w:rsidP="008F3509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36/18</w:t>
                  </w:r>
                </w:p>
                <w:p w:rsidR="00491DBF" w:rsidRPr="003C219D" w:rsidRDefault="00491DBF" w:rsidP="008F3509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FC 37/18</w:t>
                  </w:r>
                </w:p>
              </w:tc>
            </w:tr>
            <w:tr w:rsidR="00047092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7092" w:rsidRPr="003C219D" w:rsidRDefault="00A401E5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8</w:t>
                  </w:r>
                  <w:r w:rsidR="00047092"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7092" w:rsidRPr="003C219D" w:rsidRDefault="00047092" w:rsidP="00047092">
                  <w:pPr>
                    <w:keepNext/>
                    <w:spacing w:after="0"/>
                    <w:jc w:val="left"/>
                    <w:outlineLvl w:val="1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AOB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7092" w:rsidRPr="003C219D" w:rsidRDefault="00047092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047092" w:rsidRPr="003C219D" w:rsidTr="004377BE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7092" w:rsidRPr="003C219D" w:rsidRDefault="00047092" w:rsidP="00047092">
                  <w:pPr>
                    <w:spacing w:after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5765" w:rsidRDefault="00F05765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047092" w:rsidRDefault="00A35AC3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3C219D">
                    <w:rPr>
                      <w:rFonts w:ascii="Arial" w:hAnsi="Arial" w:cs="Arial"/>
                      <w:bCs/>
                      <w:sz w:val="24"/>
                      <w:szCs w:val="24"/>
                    </w:rPr>
                    <w:t>None.</w:t>
                  </w:r>
                </w:p>
                <w:p w:rsidR="00F05765" w:rsidRPr="003C219D" w:rsidRDefault="00F05765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7092" w:rsidRPr="003C219D" w:rsidRDefault="00047092" w:rsidP="00047092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F3509" w:rsidRPr="003C219D" w:rsidRDefault="008F3509" w:rsidP="008F350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8F3509" w:rsidRPr="003C219D" w:rsidRDefault="008F3509" w:rsidP="008F3509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1903F1" w:rsidRPr="003C219D" w:rsidRDefault="001903F1" w:rsidP="00B2294D">
      <w:pPr>
        <w:jc w:val="both"/>
        <w:rPr>
          <w:rFonts w:ascii="Arial" w:hAnsi="Arial" w:cs="Arial"/>
          <w:sz w:val="24"/>
          <w:szCs w:val="24"/>
        </w:rPr>
      </w:pPr>
    </w:p>
    <w:sectPr w:rsidR="001903F1" w:rsidRPr="003C219D" w:rsidSect="00322BE1">
      <w:headerReference w:type="default" r:id="rId8"/>
      <w:footerReference w:type="default" r:id="rId9"/>
      <w:headerReference w:type="first" r:id="rId10"/>
      <w:pgSz w:w="11906" w:h="16838" w:code="9"/>
      <w:pgMar w:top="1134" w:right="1440" w:bottom="567" w:left="1134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46D" w:rsidRDefault="002C246D" w:rsidP="007963B1">
      <w:pPr>
        <w:spacing w:after="0"/>
      </w:pPr>
      <w:r>
        <w:separator/>
      </w:r>
    </w:p>
  </w:endnote>
  <w:endnote w:type="continuationSeparator" w:id="0">
    <w:p w:rsidR="002C246D" w:rsidRDefault="002C246D" w:rsidP="007963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86615"/>
      <w:docPartObj>
        <w:docPartGallery w:val="Page Numbers (Bottom of Page)"/>
        <w:docPartUnique/>
      </w:docPartObj>
    </w:sdtPr>
    <w:sdtEndPr/>
    <w:sdtContent>
      <w:p w:rsidR="00F27BA2" w:rsidRDefault="00F27BA2">
        <w:pPr>
          <w:pStyle w:val="Footer"/>
          <w:jc w:val="center"/>
        </w:pPr>
      </w:p>
      <w:p w:rsidR="00F27BA2" w:rsidRDefault="00864016">
        <w:pPr>
          <w:pStyle w:val="Footer"/>
          <w:jc w:val="center"/>
        </w:pPr>
        <w:r w:rsidRPr="00BD33C7">
          <w:rPr>
            <w:rFonts w:ascii="Arial" w:hAnsi="Arial" w:cs="Arial"/>
            <w:sz w:val="24"/>
            <w:szCs w:val="24"/>
          </w:rPr>
          <w:fldChar w:fldCharType="begin"/>
        </w:r>
        <w:r w:rsidR="00F27BA2" w:rsidRPr="00BD33C7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BD33C7">
          <w:rPr>
            <w:rFonts w:ascii="Arial" w:hAnsi="Arial" w:cs="Arial"/>
            <w:sz w:val="24"/>
            <w:szCs w:val="24"/>
          </w:rPr>
          <w:fldChar w:fldCharType="separate"/>
        </w:r>
        <w:r w:rsidR="00054328">
          <w:rPr>
            <w:rFonts w:ascii="Arial" w:hAnsi="Arial" w:cs="Arial"/>
            <w:noProof/>
            <w:sz w:val="24"/>
            <w:szCs w:val="24"/>
          </w:rPr>
          <w:t>3</w:t>
        </w:r>
        <w:r w:rsidRPr="00BD33C7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F27BA2" w:rsidRDefault="00F27BA2" w:rsidP="00BB70B0">
    <w:pPr>
      <w:pStyle w:val="Footer"/>
      <w:ind w:right="70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46D" w:rsidRDefault="002C246D" w:rsidP="007963B1">
      <w:pPr>
        <w:spacing w:after="0"/>
      </w:pPr>
      <w:r>
        <w:separator/>
      </w:r>
    </w:p>
  </w:footnote>
  <w:footnote w:type="continuationSeparator" w:id="0">
    <w:p w:rsidR="002C246D" w:rsidRDefault="002C246D" w:rsidP="007963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BE1" w:rsidRPr="00B5447B" w:rsidRDefault="000758E4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F</w:t>
    </w:r>
    <w:r w:rsidR="00322BE1" w:rsidRPr="00B5447B">
      <w:rPr>
        <w:rFonts w:ascii="Arial" w:hAnsi="Arial" w:cs="Arial"/>
        <w:b/>
        <w:sz w:val="24"/>
        <w:szCs w:val="24"/>
      </w:rPr>
      <w:t xml:space="preserve">C </w:t>
    </w:r>
    <w:r w:rsidR="001E340B">
      <w:rPr>
        <w:rFonts w:ascii="Arial" w:hAnsi="Arial" w:cs="Arial"/>
        <w:b/>
        <w:sz w:val="24"/>
        <w:szCs w:val="24"/>
      </w:rPr>
      <w:t>01</w:t>
    </w:r>
    <w:r w:rsidR="00322BE1" w:rsidRPr="00B5447B">
      <w:rPr>
        <w:rFonts w:ascii="Arial" w:hAnsi="Arial" w:cs="Arial"/>
        <w:b/>
        <w:sz w:val="24"/>
        <w:szCs w:val="24"/>
      </w:rPr>
      <w:t>/</w:t>
    </w:r>
    <w:r w:rsidR="001E340B">
      <w:rPr>
        <w:rFonts w:ascii="Arial" w:hAnsi="Arial" w:cs="Arial"/>
        <w:b/>
        <w:sz w:val="24"/>
        <w:szCs w:val="24"/>
      </w:rPr>
      <w:t>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803" w:rsidRPr="002B3803" w:rsidRDefault="002B3803">
    <w:pPr>
      <w:pStyle w:val="Header"/>
      <w:rPr>
        <w:b/>
      </w:rPr>
    </w:pPr>
    <w:r w:rsidRPr="002B3803">
      <w:rPr>
        <w:b/>
      </w:rPr>
      <w:t>FSC 07/18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306"/>
    <w:multiLevelType w:val="hybridMultilevel"/>
    <w:tmpl w:val="1ADE1FA8"/>
    <w:lvl w:ilvl="0" w:tplc="93D499DC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AE5"/>
    <w:multiLevelType w:val="hybridMultilevel"/>
    <w:tmpl w:val="E4369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57DE1"/>
    <w:multiLevelType w:val="hybridMultilevel"/>
    <w:tmpl w:val="F8464AB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5DD326E"/>
    <w:multiLevelType w:val="hybridMultilevel"/>
    <w:tmpl w:val="D228D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357D"/>
    <w:multiLevelType w:val="hybridMultilevel"/>
    <w:tmpl w:val="7918F3F4"/>
    <w:lvl w:ilvl="0" w:tplc="080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5" w15:restartNumberingAfterBreak="0">
    <w:nsid w:val="0C695583"/>
    <w:multiLevelType w:val="hybridMultilevel"/>
    <w:tmpl w:val="6F1E5AB0"/>
    <w:lvl w:ilvl="0" w:tplc="08090017">
      <w:start w:val="1"/>
      <w:numFmt w:val="lowerLetter"/>
      <w:lvlText w:val="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3862D77"/>
    <w:multiLevelType w:val="hybridMultilevel"/>
    <w:tmpl w:val="200C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5157F"/>
    <w:multiLevelType w:val="hybridMultilevel"/>
    <w:tmpl w:val="D3166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2146C3"/>
    <w:multiLevelType w:val="hybridMultilevel"/>
    <w:tmpl w:val="C8FAAB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C5354B"/>
    <w:multiLevelType w:val="hybridMultilevel"/>
    <w:tmpl w:val="587ABA5C"/>
    <w:lvl w:ilvl="0" w:tplc="FE42B88A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A2939"/>
    <w:multiLevelType w:val="hybridMultilevel"/>
    <w:tmpl w:val="63DC4D1C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1E7B1516"/>
    <w:multiLevelType w:val="hybridMultilevel"/>
    <w:tmpl w:val="4A505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140BC"/>
    <w:multiLevelType w:val="hybridMultilevel"/>
    <w:tmpl w:val="CD18CC28"/>
    <w:lvl w:ilvl="0" w:tplc="BC3494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06772"/>
    <w:multiLevelType w:val="hybridMultilevel"/>
    <w:tmpl w:val="2E283DC2"/>
    <w:lvl w:ilvl="0" w:tplc="080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A56E0F2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DE4ED8F4">
      <w:start w:val="1"/>
      <w:numFmt w:val="bullet"/>
      <w:lvlText w:val="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color w:val="000000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A8A371B"/>
    <w:multiLevelType w:val="hybridMultilevel"/>
    <w:tmpl w:val="DB224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C0E7A"/>
    <w:multiLevelType w:val="hybridMultilevel"/>
    <w:tmpl w:val="40CE9864"/>
    <w:lvl w:ilvl="0" w:tplc="23ACDE5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271F6"/>
    <w:multiLevelType w:val="hybridMultilevel"/>
    <w:tmpl w:val="28640716"/>
    <w:lvl w:ilvl="0" w:tplc="1D92EE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4C5841"/>
    <w:multiLevelType w:val="hybridMultilevel"/>
    <w:tmpl w:val="C1F4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378D5"/>
    <w:multiLevelType w:val="hybridMultilevel"/>
    <w:tmpl w:val="A942B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72FA1"/>
    <w:multiLevelType w:val="hybridMultilevel"/>
    <w:tmpl w:val="EE16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06795"/>
    <w:multiLevelType w:val="hybridMultilevel"/>
    <w:tmpl w:val="F77CE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D6B2C"/>
    <w:multiLevelType w:val="hybridMultilevel"/>
    <w:tmpl w:val="72EE73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758EF"/>
    <w:multiLevelType w:val="hybridMultilevel"/>
    <w:tmpl w:val="FF4CA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E6B52"/>
    <w:multiLevelType w:val="hybridMultilevel"/>
    <w:tmpl w:val="CEF4D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857BB7"/>
    <w:multiLevelType w:val="hybridMultilevel"/>
    <w:tmpl w:val="D4D0B92A"/>
    <w:lvl w:ilvl="0" w:tplc="D9622376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4D3F1F40"/>
    <w:multiLevelType w:val="hybridMultilevel"/>
    <w:tmpl w:val="03E020D2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6" w15:restartNumberingAfterBreak="0">
    <w:nsid w:val="50D66868"/>
    <w:multiLevelType w:val="hybridMultilevel"/>
    <w:tmpl w:val="66902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0A128C"/>
    <w:multiLevelType w:val="hybridMultilevel"/>
    <w:tmpl w:val="65FE24E0"/>
    <w:lvl w:ilvl="0" w:tplc="24120E16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B3594"/>
    <w:multiLevelType w:val="hybridMultilevel"/>
    <w:tmpl w:val="3FF86794"/>
    <w:lvl w:ilvl="0" w:tplc="A96C3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6C78CE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4ABAA6" w:tentative="1">
      <w:start w:val="1"/>
      <w:numFmt w:val="lowerRoman"/>
      <w:lvlText w:val="%3."/>
      <w:lvlJc w:val="right"/>
      <w:pPr>
        <w:ind w:left="2160" w:hanging="180"/>
      </w:pPr>
    </w:lvl>
    <w:lvl w:ilvl="3" w:tplc="18B8CF6C" w:tentative="1">
      <w:start w:val="1"/>
      <w:numFmt w:val="decimal"/>
      <w:lvlText w:val="%4."/>
      <w:lvlJc w:val="left"/>
      <w:pPr>
        <w:ind w:left="2880" w:hanging="360"/>
      </w:pPr>
    </w:lvl>
    <w:lvl w:ilvl="4" w:tplc="104CB996" w:tentative="1">
      <w:start w:val="1"/>
      <w:numFmt w:val="lowerLetter"/>
      <w:lvlText w:val="%5."/>
      <w:lvlJc w:val="left"/>
      <w:pPr>
        <w:ind w:left="3600" w:hanging="360"/>
      </w:pPr>
    </w:lvl>
    <w:lvl w:ilvl="5" w:tplc="5B30BAEA" w:tentative="1">
      <w:start w:val="1"/>
      <w:numFmt w:val="lowerRoman"/>
      <w:lvlText w:val="%6."/>
      <w:lvlJc w:val="right"/>
      <w:pPr>
        <w:ind w:left="4320" w:hanging="180"/>
      </w:pPr>
    </w:lvl>
    <w:lvl w:ilvl="6" w:tplc="4D947652" w:tentative="1">
      <w:start w:val="1"/>
      <w:numFmt w:val="decimal"/>
      <w:lvlText w:val="%7."/>
      <w:lvlJc w:val="left"/>
      <w:pPr>
        <w:ind w:left="5040" w:hanging="360"/>
      </w:pPr>
    </w:lvl>
    <w:lvl w:ilvl="7" w:tplc="998044B6" w:tentative="1">
      <w:start w:val="1"/>
      <w:numFmt w:val="lowerLetter"/>
      <w:lvlText w:val="%8."/>
      <w:lvlJc w:val="left"/>
      <w:pPr>
        <w:ind w:left="5760" w:hanging="360"/>
      </w:pPr>
    </w:lvl>
    <w:lvl w:ilvl="8" w:tplc="8C946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9557C"/>
    <w:multiLevelType w:val="hybridMultilevel"/>
    <w:tmpl w:val="19C4EC28"/>
    <w:lvl w:ilvl="0" w:tplc="5602E0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95ADB"/>
    <w:multiLevelType w:val="hybridMultilevel"/>
    <w:tmpl w:val="A2CA9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F129A"/>
    <w:multiLevelType w:val="hybridMultilevel"/>
    <w:tmpl w:val="A72E1C48"/>
    <w:lvl w:ilvl="0" w:tplc="08090017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2" w15:restartNumberingAfterBreak="0">
    <w:nsid w:val="5A216131"/>
    <w:multiLevelType w:val="hybridMultilevel"/>
    <w:tmpl w:val="1B60A90C"/>
    <w:lvl w:ilvl="0" w:tplc="C042177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5F673829"/>
    <w:multiLevelType w:val="hybridMultilevel"/>
    <w:tmpl w:val="752C72A4"/>
    <w:lvl w:ilvl="0" w:tplc="620E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8966DB"/>
    <w:multiLevelType w:val="hybridMultilevel"/>
    <w:tmpl w:val="40D0E9DE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 w15:restartNumberingAfterBreak="0">
    <w:nsid w:val="64402ED3"/>
    <w:multiLevelType w:val="hybridMultilevel"/>
    <w:tmpl w:val="18CC9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F467D"/>
    <w:multiLevelType w:val="hybridMultilevel"/>
    <w:tmpl w:val="C05060A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7" w15:restartNumberingAfterBreak="0">
    <w:nsid w:val="697F0DAF"/>
    <w:multiLevelType w:val="hybridMultilevel"/>
    <w:tmpl w:val="4F0253D0"/>
    <w:lvl w:ilvl="0" w:tplc="08090017">
      <w:start w:val="1"/>
      <w:numFmt w:val="lowerLetter"/>
      <w:lvlText w:val="%1)"/>
      <w:lvlJc w:val="left"/>
      <w:pPr>
        <w:ind w:left="39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C1B61"/>
    <w:multiLevelType w:val="hybridMultilevel"/>
    <w:tmpl w:val="3D6CC7D8"/>
    <w:lvl w:ilvl="0" w:tplc="0809000F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  <w:b w:val="0"/>
      </w:rPr>
    </w:lvl>
    <w:lvl w:ilvl="1" w:tplc="08090019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2" w:tplc="0809001B">
      <w:start w:val="1"/>
      <w:numFmt w:val="lowerLetter"/>
      <w:lvlText w:val="%3."/>
      <w:lvlJc w:val="left"/>
      <w:pPr>
        <w:tabs>
          <w:tab w:val="num" w:pos="1631"/>
        </w:tabs>
        <w:ind w:left="1631" w:hanging="360"/>
      </w:pPr>
      <w:rPr>
        <w:rFonts w:hint="default"/>
      </w:rPr>
    </w:lvl>
    <w:lvl w:ilvl="3" w:tplc="0809000F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9" w15:restartNumberingAfterBreak="0">
    <w:nsid w:val="71837064"/>
    <w:multiLevelType w:val="hybridMultilevel"/>
    <w:tmpl w:val="9F620104"/>
    <w:lvl w:ilvl="0" w:tplc="AC941E80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8FB1AB6"/>
    <w:multiLevelType w:val="hybridMultilevel"/>
    <w:tmpl w:val="C696EFFA"/>
    <w:lvl w:ilvl="0" w:tplc="0809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41" w15:restartNumberingAfterBreak="0">
    <w:nsid w:val="7B5E0679"/>
    <w:multiLevelType w:val="hybridMultilevel"/>
    <w:tmpl w:val="F72E6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36F9F"/>
    <w:multiLevelType w:val="hybridMultilevel"/>
    <w:tmpl w:val="F424C3B8"/>
    <w:lvl w:ilvl="0" w:tplc="0809000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8" w:hanging="360"/>
      </w:pPr>
      <w:rPr>
        <w:rFonts w:ascii="Wingdings" w:hAnsi="Wingdings" w:hint="default"/>
      </w:rPr>
    </w:lvl>
  </w:abstractNum>
  <w:abstractNum w:abstractNumId="43" w15:restartNumberingAfterBreak="0">
    <w:nsid w:val="7DC94F2E"/>
    <w:multiLevelType w:val="hybridMultilevel"/>
    <w:tmpl w:val="9864CC98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4" w15:restartNumberingAfterBreak="0">
    <w:nsid w:val="7DE93500"/>
    <w:multiLevelType w:val="hybridMultilevel"/>
    <w:tmpl w:val="1A1C2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30FEB"/>
    <w:multiLevelType w:val="hybridMultilevel"/>
    <w:tmpl w:val="8F7CF38A"/>
    <w:lvl w:ilvl="0" w:tplc="9C808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4"/>
  </w:num>
  <w:num w:numId="3">
    <w:abstractNumId w:val="7"/>
  </w:num>
  <w:num w:numId="4">
    <w:abstractNumId w:val="23"/>
  </w:num>
  <w:num w:numId="5">
    <w:abstractNumId w:val="9"/>
  </w:num>
  <w:num w:numId="6">
    <w:abstractNumId w:val="0"/>
  </w:num>
  <w:num w:numId="7">
    <w:abstractNumId w:val="27"/>
  </w:num>
  <w:num w:numId="8">
    <w:abstractNumId w:val="31"/>
  </w:num>
  <w:num w:numId="9">
    <w:abstractNumId w:val="39"/>
  </w:num>
  <w:num w:numId="10">
    <w:abstractNumId w:val="5"/>
  </w:num>
  <w:num w:numId="11">
    <w:abstractNumId w:val="37"/>
  </w:num>
  <w:num w:numId="12">
    <w:abstractNumId w:val="45"/>
  </w:num>
  <w:num w:numId="13">
    <w:abstractNumId w:val="6"/>
  </w:num>
  <w:num w:numId="14">
    <w:abstractNumId w:val="3"/>
  </w:num>
  <w:num w:numId="15">
    <w:abstractNumId w:val="26"/>
  </w:num>
  <w:num w:numId="16">
    <w:abstractNumId w:val="36"/>
  </w:num>
  <w:num w:numId="17">
    <w:abstractNumId w:val="35"/>
  </w:num>
  <w:num w:numId="18">
    <w:abstractNumId w:val="33"/>
  </w:num>
  <w:num w:numId="19">
    <w:abstractNumId w:val="10"/>
  </w:num>
  <w:num w:numId="20">
    <w:abstractNumId w:val="28"/>
  </w:num>
  <w:num w:numId="21">
    <w:abstractNumId w:val="2"/>
  </w:num>
  <w:num w:numId="22">
    <w:abstractNumId w:val="21"/>
  </w:num>
  <w:num w:numId="23">
    <w:abstractNumId w:val="18"/>
  </w:num>
  <w:num w:numId="24">
    <w:abstractNumId w:val="25"/>
  </w:num>
  <w:num w:numId="25">
    <w:abstractNumId w:val="29"/>
  </w:num>
  <w:num w:numId="26">
    <w:abstractNumId w:val="30"/>
  </w:num>
  <w:num w:numId="27">
    <w:abstractNumId w:val="4"/>
  </w:num>
  <w:num w:numId="28">
    <w:abstractNumId w:val="40"/>
  </w:num>
  <w:num w:numId="29">
    <w:abstractNumId w:val="16"/>
  </w:num>
  <w:num w:numId="30">
    <w:abstractNumId w:val="32"/>
  </w:num>
  <w:num w:numId="31">
    <w:abstractNumId w:val="38"/>
  </w:num>
  <w:num w:numId="32">
    <w:abstractNumId w:val="43"/>
  </w:num>
  <w:num w:numId="33">
    <w:abstractNumId w:val="22"/>
  </w:num>
  <w:num w:numId="34">
    <w:abstractNumId w:val="1"/>
  </w:num>
  <w:num w:numId="35">
    <w:abstractNumId w:val="34"/>
  </w:num>
  <w:num w:numId="36">
    <w:abstractNumId w:val="11"/>
  </w:num>
  <w:num w:numId="37">
    <w:abstractNumId w:val="8"/>
  </w:num>
  <w:num w:numId="38">
    <w:abstractNumId w:val="20"/>
  </w:num>
  <w:num w:numId="39">
    <w:abstractNumId w:val="44"/>
  </w:num>
  <w:num w:numId="40">
    <w:abstractNumId w:val="41"/>
  </w:num>
  <w:num w:numId="41">
    <w:abstractNumId w:val="19"/>
  </w:num>
  <w:num w:numId="42">
    <w:abstractNumId w:val="42"/>
  </w:num>
  <w:num w:numId="43">
    <w:abstractNumId w:val="12"/>
  </w:num>
  <w:num w:numId="44">
    <w:abstractNumId w:val="14"/>
  </w:num>
  <w:num w:numId="45">
    <w:abstractNumId w:val="15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88"/>
    <w:rsid w:val="00014C06"/>
    <w:rsid w:val="0001728E"/>
    <w:rsid w:val="0002016B"/>
    <w:rsid w:val="00026F5C"/>
    <w:rsid w:val="000371F1"/>
    <w:rsid w:val="00041081"/>
    <w:rsid w:val="00044A06"/>
    <w:rsid w:val="00047092"/>
    <w:rsid w:val="00054328"/>
    <w:rsid w:val="00061AAA"/>
    <w:rsid w:val="000638A2"/>
    <w:rsid w:val="000758E4"/>
    <w:rsid w:val="00085130"/>
    <w:rsid w:val="0009301E"/>
    <w:rsid w:val="00097291"/>
    <w:rsid w:val="000A7B91"/>
    <w:rsid w:val="000B51AE"/>
    <w:rsid w:val="000C2D9B"/>
    <w:rsid w:val="000C51A9"/>
    <w:rsid w:val="000F25AC"/>
    <w:rsid w:val="000F2F53"/>
    <w:rsid w:val="00100E70"/>
    <w:rsid w:val="0011379C"/>
    <w:rsid w:val="00130FED"/>
    <w:rsid w:val="00134103"/>
    <w:rsid w:val="001470DE"/>
    <w:rsid w:val="00151D63"/>
    <w:rsid w:val="00154A29"/>
    <w:rsid w:val="001662CE"/>
    <w:rsid w:val="00172736"/>
    <w:rsid w:val="00174BA5"/>
    <w:rsid w:val="00182465"/>
    <w:rsid w:val="00187FE5"/>
    <w:rsid w:val="001903F1"/>
    <w:rsid w:val="001910BD"/>
    <w:rsid w:val="001A7A4E"/>
    <w:rsid w:val="001A7B3C"/>
    <w:rsid w:val="001B45CC"/>
    <w:rsid w:val="001B4761"/>
    <w:rsid w:val="001B4C7E"/>
    <w:rsid w:val="001C1682"/>
    <w:rsid w:val="001C335C"/>
    <w:rsid w:val="001D65A6"/>
    <w:rsid w:val="001E340B"/>
    <w:rsid w:val="001E3EF5"/>
    <w:rsid w:val="00200E8B"/>
    <w:rsid w:val="00207C06"/>
    <w:rsid w:val="002141CD"/>
    <w:rsid w:val="00215096"/>
    <w:rsid w:val="00216EC7"/>
    <w:rsid w:val="00217ED1"/>
    <w:rsid w:val="00220F8F"/>
    <w:rsid w:val="00224545"/>
    <w:rsid w:val="002354B2"/>
    <w:rsid w:val="00251447"/>
    <w:rsid w:val="00251874"/>
    <w:rsid w:val="00251F6E"/>
    <w:rsid w:val="00254704"/>
    <w:rsid w:val="00261A55"/>
    <w:rsid w:val="00282CE5"/>
    <w:rsid w:val="0028607D"/>
    <w:rsid w:val="002A199C"/>
    <w:rsid w:val="002A45D4"/>
    <w:rsid w:val="002A585F"/>
    <w:rsid w:val="002B2C15"/>
    <w:rsid w:val="002B3803"/>
    <w:rsid w:val="002C1BCB"/>
    <w:rsid w:val="002C246D"/>
    <w:rsid w:val="002D1F63"/>
    <w:rsid w:val="002F7C31"/>
    <w:rsid w:val="00300CF6"/>
    <w:rsid w:val="00301A37"/>
    <w:rsid w:val="00310F65"/>
    <w:rsid w:val="0031365B"/>
    <w:rsid w:val="003167F0"/>
    <w:rsid w:val="00316F8D"/>
    <w:rsid w:val="00317989"/>
    <w:rsid w:val="003201DA"/>
    <w:rsid w:val="00322113"/>
    <w:rsid w:val="003228C3"/>
    <w:rsid w:val="00322BE1"/>
    <w:rsid w:val="003232F2"/>
    <w:rsid w:val="003330DC"/>
    <w:rsid w:val="00345DAB"/>
    <w:rsid w:val="003509B6"/>
    <w:rsid w:val="0035122B"/>
    <w:rsid w:val="00360F08"/>
    <w:rsid w:val="00361497"/>
    <w:rsid w:val="003668C3"/>
    <w:rsid w:val="00366C3B"/>
    <w:rsid w:val="00367982"/>
    <w:rsid w:val="003719D0"/>
    <w:rsid w:val="003819BF"/>
    <w:rsid w:val="0039373B"/>
    <w:rsid w:val="00396F15"/>
    <w:rsid w:val="0039708F"/>
    <w:rsid w:val="003A2BBA"/>
    <w:rsid w:val="003B24FA"/>
    <w:rsid w:val="003B3492"/>
    <w:rsid w:val="003B39C8"/>
    <w:rsid w:val="003C219D"/>
    <w:rsid w:val="003C2F49"/>
    <w:rsid w:val="003C59C5"/>
    <w:rsid w:val="003F5E00"/>
    <w:rsid w:val="0040441B"/>
    <w:rsid w:val="004103EB"/>
    <w:rsid w:val="00413A9A"/>
    <w:rsid w:val="00415833"/>
    <w:rsid w:val="004207C9"/>
    <w:rsid w:val="0043698B"/>
    <w:rsid w:val="004373D3"/>
    <w:rsid w:val="00440652"/>
    <w:rsid w:val="00441860"/>
    <w:rsid w:val="00445581"/>
    <w:rsid w:val="00462922"/>
    <w:rsid w:val="004629CF"/>
    <w:rsid w:val="00462E11"/>
    <w:rsid w:val="00466729"/>
    <w:rsid w:val="004722E9"/>
    <w:rsid w:val="00485C60"/>
    <w:rsid w:val="00491DBF"/>
    <w:rsid w:val="004B0A4F"/>
    <w:rsid w:val="004C30ED"/>
    <w:rsid w:val="004D7B74"/>
    <w:rsid w:val="004F4E8A"/>
    <w:rsid w:val="00505A67"/>
    <w:rsid w:val="00511440"/>
    <w:rsid w:val="00512DB7"/>
    <w:rsid w:val="0052004A"/>
    <w:rsid w:val="00526137"/>
    <w:rsid w:val="00534665"/>
    <w:rsid w:val="00537217"/>
    <w:rsid w:val="00537315"/>
    <w:rsid w:val="005513A1"/>
    <w:rsid w:val="00551581"/>
    <w:rsid w:val="00551DDC"/>
    <w:rsid w:val="00555CF0"/>
    <w:rsid w:val="0056122A"/>
    <w:rsid w:val="005701FE"/>
    <w:rsid w:val="00574032"/>
    <w:rsid w:val="00590D1D"/>
    <w:rsid w:val="005A2C4B"/>
    <w:rsid w:val="005A3D98"/>
    <w:rsid w:val="005A6137"/>
    <w:rsid w:val="005A7631"/>
    <w:rsid w:val="005B39FB"/>
    <w:rsid w:val="005C1839"/>
    <w:rsid w:val="005D1256"/>
    <w:rsid w:val="005D58B5"/>
    <w:rsid w:val="005E3A60"/>
    <w:rsid w:val="006014AD"/>
    <w:rsid w:val="00620C10"/>
    <w:rsid w:val="00621923"/>
    <w:rsid w:val="00640583"/>
    <w:rsid w:val="00640BD0"/>
    <w:rsid w:val="006420D2"/>
    <w:rsid w:val="00646D72"/>
    <w:rsid w:val="0065268A"/>
    <w:rsid w:val="00652F2E"/>
    <w:rsid w:val="00656F1C"/>
    <w:rsid w:val="00657FB4"/>
    <w:rsid w:val="006628E5"/>
    <w:rsid w:val="00662D63"/>
    <w:rsid w:val="0068603F"/>
    <w:rsid w:val="00692B3C"/>
    <w:rsid w:val="006A3CB4"/>
    <w:rsid w:val="006C0907"/>
    <w:rsid w:val="006C1ECD"/>
    <w:rsid w:val="006C1F07"/>
    <w:rsid w:val="006C692D"/>
    <w:rsid w:val="006D34D6"/>
    <w:rsid w:val="006E3579"/>
    <w:rsid w:val="006E3CB8"/>
    <w:rsid w:val="006E5AB3"/>
    <w:rsid w:val="006F4A8F"/>
    <w:rsid w:val="00707D5F"/>
    <w:rsid w:val="007103DD"/>
    <w:rsid w:val="00723B56"/>
    <w:rsid w:val="007343DC"/>
    <w:rsid w:val="0074355F"/>
    <w:rsid w:val="007671BD"/>
    <w:rsid w:val="0078318E"/>
    <w:rsid w:val="00784773"/>
    <w:rsid w:val="00795D7F"/>
    <w:rsid w:val="007963B1"/>
    <w:rsid w:val="007A3B1A"/>
    <w:rsid w:val="007A6845"/>
    <w:rsid w:val="007B004C"/>
    <w:rsid w:val="007B0BBA"/>
    <w:rsid w:val="007C4FFE"/>
    <w:rsid w:val="007D2E17"/>
    <w:rsid w:val="008151E5"/>
    <w:rsid w:val="00830E97"/>
    <w:rsid w:val="008312F1"/>
    <w:rsid w:val="0083191A"/>
    <w:rsid w:val="00832438"/>
    <w:rsid w:val="00832874"/>
    <w:rsid w:val="0084333C"/>
    <w:rsid w:val="008514EE"/>
    <w:rsid w:val="008517E6"/>
    <w:rsid w:val="00854BC8"/>
    <w:rsid w:val="00861C48"/>
    <w:rsid w:val="00862E8D"/>
    <w:rsid w:val="00864016"/>
    <w:rsid w:val="008649EF"/>
    <w:rsid w:val="00865D5A"/>
    <w:rsid w:val="00867092"/>
    <w:rsid w:val="0088226B"/>
    <w:rsid w:val="008877B7"/>
    <w:rsid w:val="008A22E0"/>
    <w:rsid w:val="008A453B"/>
    <w:rsid w:val="008B0EFB"/>
    <w:rsid w:val="008B2137"/>
    <w:rsid w:val="008B6207"/>
    <w:rsid w:val="008C61B0"/>
    <w:rsid w:val="008D2A10"/>
    <w:rsid w:val="008D369F"/>
    <w:rsid w:val="008D4AAD"/>
    <w:rsid w:val="008F02E5"/>
    <w:rsid w:val="008F29B1"/>
    <w:rsid w:val="008F3085"/>
    <w:rsid w:val="008F3509"/>
    <w:rsid w:val="008F6515"/>
    <w:rsid w:val="00903E8B"/>
    <w:rsid w:val="00913FEB"/>
    <w:rsid w:val="00915A2F"/>
    <w:rsid w:val="0092378C"/>
    <w:rsid w:val="00940878"/>
    <w:rsid w:val="009422BE"/>
    <w:rsid w:val="00965845"/>
    <w:rsid w:val="009771AB"/>
    <w:rsid w:val="009874A5"/>
    <w:rsid w:val="0099061E"/>
    <w:rsid w:val="009A7179"/>
    <w:rsid w:val="009A727B"/>
    <w:rsid w:val="009B1415"/>
    <w:rsid w:val="009B26CB"/>
    <w:rsid w:val="009B78CB"/>
    <w:rsid w:val="009C1157"/>
    <w:rsid w:val="009C18F9"/>
    <w:rsid w:val="009C40C2"/>
    <w:rsid w:val="009C5727"/>
    <w:rsid w:val="009E5211"/>
    <w:rsid w:val="009E744D"/>
    <w:rsid w:val="009F2586"/>
    <w:rsid w:val="009F4B05"/>
    <w:rsid w:val="009F5C65"/>
    <w:rsid w:val="00A02BBE"/>
    <w:rsid w:val="00A03C5A"/>
    <w:rsid w:val="00A04CB6"/>
    <w:rsid w:val="00A14F15"/>
    <w:rsid w:val="00A30F20"/>
    <w:rsid w:val="00A35AC3"/>
    <w:rsid w:val="00A401E5"/>
    <w:rsid w:val="00A4297D"/>
    <w:rsid w:val="00A4557A"/>
    <w:rsid w:val="00A4623A"/>
    <w:rsid w:val="00A47196"/>
    <w:rsid w:val="00A5204A"/>
    <w:rsid w:val="00A6280E"/>
    <w:rsid w:val="00A66966"/>
    <w:rsid w:val="00A8105B"/>
    <w:rsid w:val="00A92769"/>
    <w:rsid w:val="00AB12C6"/>
    <w:rsid w:val="00AB1C81"/>
    <w:rsid w:val="00AB36AA"/>
    <w:rsid w:val="00AE23CF"/>
    <w:rsid w:val="00AF49E8"/>
    <w:rsid w:val="00B02A05"/>
    <w:rsid w:val="00B02B78"/>
    <w:rsid w:val="00B07A35"/>
    <w:rsid w:val="00B11015"/>
    <w:rsid w:val="00B209C4"/>
    <w:rsid w:val="00B2294D"/>
    <w:rsid w:val="00B413D1"/>
    <w:rsid w:val="00B46922"/>
    <w:rsid w:val="00B5447B"/>
    <w:rsid w:val="00B54F60"/>
    <w:rsid w:val="00B6739D"/>
    <w:rsid w:val="00B7400E"/>
    <w:rsid w:val="00B7402E"/>
    <w:rsid w:val="00B77A25"/>
    <w:rsid w:val="00B94B2E"/>
    <w:rsid w:val="00BA197E"/>
    <w:rsid w:val="00BA1E8F"/>
    <w:rsid w:val="00BA7300"/>
    <w:rsid w:val="00BB070A"/>
    <w:rsid w:val="00BB70B0"/>
    <w:rsid w:val="00BC669F"/>
    <w:rsid w:val="00BD003F"/>
    <w:rsid w:val="00BD201B"/>
    <w:rsid w:val="00BD316F"/>
    <w:rsid w:val="00BE31BB"/>
    <w:rsid w:val="00BE42E9"/>
    <w:rsid w:val="00BE442F"/>
    <w:rsid w:val="00BE586F"/>
    <w:rsid w:val="00BF2D43"/>
    <w:rsid w:val="00C00B74"/>
    <w:rsid w:val="00C015D4"/>
    <w:rsid w:val="00C048E0"/>
    <w:rsid w:val="00C06467"/>
    <w:rsid w:val="00C10BE1"/>
    <w:rsid w:val="00C1743E"/>
    <w:rsid w:val="00C23185"/>
    <w:rsid w:val="00C24BE3"/>
    <w:rsid w:val="00C556F8"/>
    <w:rsid w:val="00C6296F"/>
    <w:rsid w:val="00C742FC"/>
    <w:rsid w:val="00C77B08"/>
    <w:rsid w:val="00C82940"/>
    <w:rsid w:val="00C84726"/>
    <w:rsid w:val="00C854CC"/>
    <w:rsid w:val="00C86006"/>
    <w:rsid w:val="00C911A0"/>
    <w:rsid w:val="00C92E87"/>
    <w:rsid w:val="00C9793A"/>
    <w:rsid w:val="00C97E79"/>
    <w:rsid w:val="00CA0F9F"/>
    <w:rsid w:val="00CB0C2A"/>
    <w:rsid w:val="00CC0071"/>
    <w:rsid w:val="00CC45DB"/>
    <w:rsid w:val="00CC6C8C"/>
    <w:rsid w:val="00CC7EF6"/>
    <w:rsid w:val="00CD4B85"/>
    <w:rsid w:val="00CE4D68"/>
    <w:rsid w:val="00CE6010"/>
    <w:rsid w:val="00D013F3"/>
    <w:rsid w:val="00D02A95"/>
    <w:rsid w:val="00D071B8"/>
    <w:rsid w:val="00D12D8E"/>
    <w:rsid w:val="00D21DE8"/>
    <w:rsid w:val="00D23699"/>
    <w:rsid w:val="00D24BF5"/>
    <w:rsid w:val="00D5246F"/>
    <w:rsid w:val="00D5467A"/>
    <w:rsid w:val="00D57483"/>
    <w:rsid w:val="00D62A09"/>
    <w:rsid w:val="00D651DC"/>
    <w:rsid w:val="00D70AF6"/>
    <w:rsid w:val="00D71EE1"/>
    <w:rsid w:val="00D73BE0"/>
    <w:rsid w:val="00D80388"/>
    <w:rsid w:val="00D82A5D"/>
    <w:rsid w:val="00DA3D92"/>
    <w:rsid w:val="00DA4118"/>
    <w:rsid w:val="00DA5F5A"/>
    <w:rsid w:val="00DA72C2"/>
    <w:rsid w:val="00DB30EE"/>
    <w:rsid w:val="00DB6124"/>
    <w:rsid w:val="00DC2520"/>
    <w:rsid w:val="00DC3B84"/>
    <w:rsid w:val="00DC7230"/>
    <w:rsid w:val="00DE0E7A"/>
    <w:rsid w:val="00DE266D"/>
    <w:rsid w:val="00DF0052"/>
    <w:rsid w:val="00E10816"/>
    <w:rsid w:val="00E12020"/>
    <w:rsid w:val="00E14887"/>
    <w:rsid w:val="00E17229"/>
    <w:rsid w:val="00E25653"/>
    <w:rsid w:val="00E262A9"/>
    <w:rsid w:val="00E3495D"/>
    <w:rsid w:val="00E3516A"/>
    <w:rsid w:val="00E42347"/>
    <w:rsid w:val="00E44216"/>
    <w:rsid w:val="00E50C5D"/>
    <w:rsid w:val="00E5160D"/>
    <w:rsid w:val="00E60E9E"/>
    <w:rsid w:val="00E632C1"/>
    <w:rsid w:val="00E64C4F"/>
    <w:rsid w:val="00E6511F"/>
    <w:rsid w:val="00E7680C"/>
    <w:rsid w:val="00E776DF"/>
    <w:rsid w:val="00E83A5B"/>
    <w:rsid w:val="00E83B28"/>
    <w:rsid w:val="00E870E7"/>
    <w:rsid w:val="00E9044C"/>
    <w:rsid w:val="00E9767D"/>
    <w:rsid w:val="00EA418F"/>
    <w:rsid w:val="00EA68F9"/>
    <w:rsid w:val="00EB1C54"/>
    <w:rsid w:val="00EB43AD"/>
    <w:rsid w:val="00EB7034"/>
    <w:rsid w:val="00EC351C"/>
    <w:rsid w:val="00ED2B09"/>
    <w:rsid w:val="00ED5AB1"/>
    <w:rsid w:val="00ED7793"/>
    <w:rsid w:val="00EE31BC"/>
    <w:rsid w:val="00EF06B3"/>
    <w:rsid w:val="00F03318"/>
    <w:rsid w:val="00F05765"/>
    <w:rsid w:val="00F1050E"/>
    <w:rsid w:val="00F10A4D"/>
    <w:rsid w:val="00F27BA2"/>
    <w:rsid w:val="00F45AE2"/>
    <w:rsid w:val="00F678A4"/>
    <w:rsid w:val="00F773F7"/>
    <w:rsid w:val="00F83FFB"/>
    <w:rsid w:val="00F91903"/>
    <w:rsid w:val="00F925BA"/>
    <w:rsid w:val="00F96E61"/>
    <w:rsid w:val="00FA433D"/>
    <w:rsid w:val="00FA63CF"/>
    <w:rsid w:val="00FA7775"/>
    <w:rsid w:val="00FB772B"/>
    <w:rsid w:val="00FD6675"/>
    <w:rsid w:val="00FE4A0A"/>
    <w:rsid w:val="00FE7CA7"/>
    <w:rsid w:val="00FF126A"/>
    <w:rsid w:val="00FF2987"/>
    <w:rsid w:val="00FF62EA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26FA7B-E280-4460-A5AE-40A996EF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388"/>
    <w:pPr>
      <w:spacing w:line="240" w:lineRule="auto"/>
      <w:jc w:val="righ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803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80388"/>
    <w:rPr>
      <w:rFonts w:ascii="Calibri" w:eastAsia="Calibri" w:hAnsi="Calibri" w:cs="Times New Roman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"/>
    <w:basedOn w:val="Normal"/>
    <w:link w:val="ListParagraphChar"/>
    <w:uiPriority w:val="34"/>
    <w:qFormat/>
    <w:rsid w:val="00D80388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"/>
    <w:basedOn w:val="DefaultParagraphFont"/>
    <w:link w:val="ListParagraph"/>
    <w:uiPriority w:val="34"/>
    <w:qFormat/>
    <w:locked/>
    <w:rsid w:val="00D80388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130FED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30FED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D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B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1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2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2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22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D546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204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204A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C77B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8A1A4-FBFA-4BF4-8102-FA31385D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Holterman</dc:creator>
  <cp:keywords/>
  <dc:description/>
  <cp:lastModifiedBy>Lesley McWatters</cp:lastModifiedBy>
  <cp:revision>2</cp:revision>
  <cp:lastPrinted>2018-05-11T11:30:00Z</cp:lastPrinted>
  <dcterms:created xsi:type="dcterms:W3CDTF">2019-05-08T09:07:00Z</dcterms:created>
  <dcterms:modified xsi:type="dcterms:W3CDTF">2019-05-08T09:07:00Z</dcterms:modified>
</cp:coreProperties>
</file>