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509" w:rsidRPr="003C219D" w:rsidRDefault="008F3509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C219D">
        <w:rPr>
          <w:rFonts w:ascii="Arial" w:hAnsi="Arial" w:cs="Arial"/>
          <w:b/>
          <w:sz w:val="24"/>
          <w:szCs w:val="24"/>
          <w:u w:val="single"/>
        </w:rPr>
        <w:t xml:space="preserve">Finance Committee (FC) Meeting </w:t>
      </w:r>
    </w:p>
    <w:p w:rsidR="008F3509" w:rsidRPr="003C219D" w:rsidRDefault="008F3509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8F3509" w:rsidRPr="003C219D" w:rsidRDefault="00551581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F3509" w:rsidRPr="003C219D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24</w:t>
      </w:r>
      <w:r w:rsidR="00F45AE2" w:rsidRPr="003C219D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September</w:t>
      </w:r>
      <w:r w:rsidR="008F3509" w:rsidRPr="003C219D">
        <w:rPr>
          <w:rFonts w:ascii="Arial" w:hAnsi="Arial" w:cs="Arial"/>
          <w:b/>
          <w:sz w:val="24"/>
          <w:szCs w:val="24"/>
          <w:u w:val="single"/>
        </w:rPr>
        <w:t xml:space="preserve"> 2018 at 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8F3509" w:rsidRPr="003C219D">
        <w:rPr>
          <w:rFonts w:ascii="Arial" w:hAnsi="Arial" w:cs="Arial"/>
          <w:b/>
          <w:sz w:val="24"/>
          <w:szCs w:val="24"/>
          <w:u w:val="single"/>
        </w:rPr>
        <w:t>2pm</w:t>
      </w:r>
    </w:p>
    <w:p w:rsidR="008F3509" w:rsidRPr="003C219D" w:rsidRDefault="008F3509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8F3509" w:rsidRPr="003C219D" w:rsidRDefault="008F3509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3C219D">
        <w:rPr>
          <w:rFonts w:ascii="Arial" w:hAnsi="Arial" w:cs="Arial"/>
          <w:b/>
          <w:sz w:val="24"/>
          <w:szCs w:val="24"/>
          <w:u w:val="single"/>
        </w:rPr>
        <w:t>Minutes</w:t>
      </w:r>
    </w:p>
    <w:p w:rsidR="008F3509" w:rsidRPr="003C219D" w:rsidRDefault="008F3509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2331" w:type="dxa"/>
        <w:tblInd w:w="-601" w:type="dxa"/>
        <w:tblLook w:val="00A0" w:firstRow="1" w:lastRow="0" w:firstColumn="1" w:lastColumn="0" w:noHBand="0" w:noVBand="0"/>
      </w:tblPr>
      <w:tblGrid>
        <w:gridCol w:w="12158"/>
        <w:gridCol w:w="222"/>
      </w:tblGrid>
      <w:tr w:rsidR="008F3509" w:rsidRPr="003C219D" w:rsidTr="004377BE">
        <w:tc>
          <w:tcPr>
            <w:tcW w:w="12109" w:type="dxa"/>
          </w:tcPr>
          <w:tbl>
            <w:tblPr>
              <w:tblW w:w="11942" w:type="dxa"/>
              <w:tblLook w:val="00A0" w:firstRow="1" w:lastRow="0" w:firstColumn="1" w:lastColumn="0" w:noHBand="0" w:noVBand="0"/>
            </w:tblPr>
            <w:tblGrid>
              <w:gridCol w:w="3720"/>
              <w:gridCol w:w="8222"/>
            </w:tblGrid>
            <w:tr w:rsidR="008F3509" w:rsidRPr="003C219D" w:rsidTr="00B5447B">
              <w:tc>
                <w:tcPr>
                  <w:tcW w:w="3720" w:type="dxa"/>
                </w:tcPr>
                <w:p w:rsidR="008F3509" w:rsidRDefault="008F3509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Attendees</w:t>
                  </w:r>
                  <w:r w:rsidR="008D369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D369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Dundonald</w:t>
                  </w:r>
                  <w:proofErr w:type="spellEnd"/>
                  <w:r w:rsidR="008D369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House</w:t>
                  </w:r>
                </w:p>
                <w:p w:rsidR="008D369F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8D369F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8D369F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8D369F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8D369F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8D369F" w:rsidRPr="003C219D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Attendees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Ballykelly House</w:t>
                  </w:r>
                </w:p>
              </w:tc>
              <w:tc>
                <w:tcPr>
                  <w:tcW w:w="8222" w:type="dxa"/>
                </w:tcPr>
                <w:p w:rsidR="008D369F" w:rsidRPr="003C219D" w:rsidRDefault="008F3509" w:rsidP="00F9190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Colin Lewis </w:t>
                  </w:r>
                </w:p>
                <w:p w:rsidR="008D369F" w:rsidRDefault="00F91903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Seamus McErlean</w:t>
                  </w:r>
                </w:p>
                <w:p w:rsidR="00551581" w:rsidRPr="003C219D" w:rsidRDefault="00551581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Peter Aiken (deputising for David Small)</w:t>
                  </w:r>
                </w:p>
                <w:p w:rsidR="008D369F" w:rsidRDefault="008D369F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Roger Downey </w:t>
                  </w:r>
                </w:p>
                <w:p w:rsidR="008D369F" w:rsidRDefault="00551581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William Peel</w:t>
                  </w:r>
                  <w:r w:rsidR="008D369F"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(Secretariat)</w:t>
                  </w:r>
                </w:p>
                <w:p w:rsidR="009A727B" w:rsidRDefault="009A727B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8D369F" w:rsidRDefault="008D369F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David Reid</w:t>
                  </w:r>
                </w:p>
                <w:p w:rsidR="009A727B" w:rsidRPr="003C219D" w:rsidRDefault="009A727B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Robert Huey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                   </w:t>
                  </w:r>
                </w:p>
              </w:tc>
            </w:tr>
            <w:tr w:rsidR="008F3509" w:rsidRPr="003C219D" w:rsidTr="00B5447B">
              <w:tc>
                <w:tcPr>
                  <w:tcW w:w="3720" w:type="dxa"/>
                </w:tcPr>
                <w:p w:rsidR="008F3509" w:rsidRPr="003C219D" w:rsidRDefault="008F3509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8F3509" w:rsidRPr="003C219D" w:rsidRDefault="00F45AE2" w:rsidP="002354B2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Brian Doherty</w:t>
                  </w:r>
                </w:p>
              </w:tc>
            </w:tr>
            <w:tr w:rsidR="008F3509" w:rsidRPr="003C219D" w:rsidTr="00B5447B">
              <w:tc>
                <w:tcPr>
                  <w:tcW w:w="3720" w:type="dxa"/>
                </w:tcPr>
                <w:p w:rsidR="008F3509" w:rsidRPr="003C219D" w:rsidRDefault="008F3509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8F3509" w:rsidRPr="003C219D" w:rsidRDefault="008F3509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F3509" w:rsidRPr="003C219D" w:rsidTr="00B5447B">
              <w:tc>
                <w:tcPr>
                  <w:tcW w:w="3720" w:type="dxa"/>
                </w:tcPr>
                <w:p w:rsidR="008F3509" w:rsidRPr="003C219D" w:rsidRDefault="008F3509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Apologies</w:t>
                  </w:r>
                </w:p>
              </w:tc>
              <w:tc>
                <w:tcPr>
                  <w:tcW w:w="8222" w:type="dxa"/>
                </w:tcPr>
                <w:p w:rsidR="008F3509" w:rsidRDefault="00551581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Fiona McCandless</w:t>
                  </w:r>
                </w:p>
                <w:p w:rsidR="00F91903" w:rsidRDefault="00F91903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Norman Fulton (Seamus McErlean deputising)</w:t>
                  </w:r>
                </w:p>
                <w:p w:rsidR="00551581" w:rsidRPr="003C219D" w:rsidRDefault="00551581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David Small (Peter Aiken deputising)</w:t>
                  </w:r>
                </w:p>
                <w:p w:rsidR="008F3509" w:rsidRPr="003C219D" w:rsidRDefault="008F3509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F3509" w:rsidRPr="003C219D" w:rsidTr="00B5447B">
              <w:tc>
                <w:tcPr>
                  <w:tcW w:w="3720" w:type="dxa"/>
                </w:tcPr>
                <w:p w:rsidR="008F3509" w:rsidRPr="003C219D" w:rsidRDefault="008F3509" w:rsidP="008F3509">
                  <w:pPr>
                    <w:spacing w:after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8F3509" w:rsidRPr="003C219D" w:rsidRDefault="008F3509" w:rsidP="008F3509">
                  <w:pPr>
                    <w:spacing w:after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F3509" w:rsidRPr="003C219D" w:rsidRDefault="008F3509" w:rsidP="008F3509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8F3509" w:rsidRPr="003C219D" w:rsidRDefault="008F3509" w:rsidP="008F3509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3509" w:rsidRPr="003C219D" w:rsidTr="004377BE">
        <w:tc>
          <w:tcPr>
            <w:tcW w:w="12109" w:type="dxa"/>
          </w:tcPr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10"/>
              <w:gridCol w:w="7796"/>
              <w:gridCol w:w="1701"/>
            </w:tblGrid>
            <w:tr w:rsidR="008F3509" w:rsidRPr="003C219D" w:rsidTr="004377BE">
              <w:trPr>
                <w:cantSplit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ind w:right="-108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Description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tabs>
                      <w:tab w:val="center" w:pos="4513"/>
                      <w:tab w:val="right" w:pos="9026"/>
                    </w:tabs>
                    <w:spacing w:after="0"/>
                    <w:ind w:right="-108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Paper Reference /  Action Owner</w:t>
                  </w:r>
                </w:p>
              </w:tc>
            </w:tr>
            <w:tr w:rsidR="008F3509" w:rsidRPr="003C219D" w:rsidTr="004377B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numPr>
                      <w:ilvl w:val="0"/>
                      <w:numId w:val="1"/>
                    </w:numPr>
                    <w:spacing w:after="0"/>
                    <w:ind w:left="0" w:right="-108" w:firstLine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Welcome and apologies </w:t>
                  </w:r>
                </w:p>
                <w:p w:rsidR="008F3509" w:rsidRPr="003C219D" w:rsidRDefault="008F3509" w:rsidP="002354B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Minutes</w:t>
                  </w:r>
                  <w:r w:rsidR="002354B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and Action Points</w:t>
                  </w: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2354B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from</w:t>
                  </w: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Previous Meeting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551581" w:rsidP="00F773F7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FC 21/18</w:t>
                  </w:r>
                </w:p>
              </w:tc>
            </w:tr>
            <w:tr w:rsidR="008F3509" w:rsidRPr="003C219D" w:rsidTr="004377BE">
              <w:trPr>
                <w:trHeight w:val="1300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Chair welcomed members to the meeting.</w:t>
                  </w: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C06467" w:rsidRPr="003C219D" w:rsidRDefault="008F3509" w:rsidP="00590D1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previous minutes were agreed without amendment.</w:t>
                  </w:r>
                  <w:r w:rsidR="0092378C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8F3509" w:rsidRPr="003C219D" w:rsidTr="004377B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numPr>
                      <w:ilvl w:val="0"/>
                      <w:numId w:val="1"/>
                    </w:numPr>
                    <w:spacing w:after="0"/>
                    <w:ind w:left="0" w:firstLine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F91903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October Monitoring Round 2018/19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9A727B" w:rsidP="009A727B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22</w:t>
                  </w:r>
                  <w:r w:rsidR="008F3509"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/18</w:t>
                  </w:r>
                </w:p>
              </w:tc>
            </w:tr>
            <w:tr w:rsidR="008F3509" w:rsidRPr="003C219D" w:rsidTr="004377B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6E61" w:rsidRPr="003C219D" w:rsidRDefault="00F96E61" w:rsidP="00360F08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F91903" w:rsidRDefault="00F91903" w:rsidP="00F91903">
                  <w:pPr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Roger Downey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presented the paper</w:t>
                  </w:r>
                  <w:r w:rsidR="00D651DC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. 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The FC </w:t>
                  </w:r>
                  <w:r w:rsidR="00D651DC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discussed the Resource proposals and </w:t>
                  </w:r>
                  <w:r w:rsidR="00316F8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agreed that th</w:t>
                  </w:r>
                  <w:r w:rsidR="00D651DC">
                    <w:rPr>
                      <w:rFonts w:ascii="Arial" w:hAnsi="Arial" w:cs="Arial"/>
                      <w:bCs/>
                      <w:sz w:val="24"/>
                      <w:szCs w:val="24"/>
                    </w:rPr>
                    <w:t>ey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should be actioned.</w:t>
                  </w:r>
                  <w:r w:rsidR="00485C60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 The FC also noted the new Brexit Funding </w:t>
                  </w:r>
                  <w:proofErr w:type="spellStart"/>
                  <w:r w:rsidR="00485C60">
                    <w:rPr>
                      <w:rFonts w:ascii="Arial" w:hAnsi="Arial" w:cs="Arial"/>
                      <w:bCs/>
                      <w:sz w:val="24"/>
                      <w:szCs w:val="24"/>
                    </w:rPr>
                    <w:t>proforma</w:t>
                  </w:r>
                  <w:proofErr w:type="spellEnd"/>
                  <w:r w:rsidR="00485C60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return required by DoF as part of October Monitoring. 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E3516A" w:rsidRPr="00E3516A" w:rsidRDefault="00D651DC" w:rsidP="00F05765">
                  <w:pPr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On</w:t>
                  </w:r>
                  <w:r w:rsidR="009A727B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Capital there was a detailed discussion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on</w:t>
                  </w:r>
                  <w:r w:rsidR="009A727B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the level of easement to be surrendered to DoF.  </w:t>
                  </w:r>
                  <w:r w:rsidR="00F05765">
                    <w:rPr>
                      <w:rFonts w:ascii="Arial" w:hAnsi="Arial" w:cs="Arial"/>
                      <w:bCs/>
                      <w:sz w:val="24"/>
                      <w:szCs w:val="24"/>
                    </w:rPr>
                    <w:t>G</w:t>
                  </w:r>
                  <w:r w:rsidR="009A727B">
                    <w:rPr>
                      <w:rFonts w:ascii="Arial" w:hAnsi="Arial" w:cs="Arial"/>
                      <w:bCs/>
                      <w:sz w:val="24"/>
                      <w:szCs w:val="24"/>
                    </w:rPr>
                    <w:t>iven business area</w:t>
                  </w:r>
                  <w:r w:rsidR="00F05765">
                    <w:rPr>
                      <w:rFonts w:ascii="Arial" w:hAnsi="Arial" w:cs="Arial"/>
                      <w:bCs/>
                      <w:sz w:val="24"/>
                      <w:szCs w:val="24"/>
                    </w:rPr>
                    <w:t>s’ projected</w:t>
                  </w:r>
                  <w:r w:rsidR="009A727B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requirements and the likelihood of further slippage as the year progress</w:t>
                  </w:r>
                  <w:r w:rsidR="00F05765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the FC agreed that £7.0m should be surrendered in this exercise</w:t>
                  </w:r>
                  <w:r w:rsidR="009A727B"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316F8D" w:rsidRDefault="00316F8D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8F3509" w:rsidRPr="00E3516A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F3509" w:rsidRPr="003C219D" w:rsidTr="004377B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numPr>
                      <w:ilvl w:val="0"/>
                      <w:numId w:val="1"/>
                    </w:numPr>
                    <w:spacing w:after="0"/>
                    <w:ind w:left="0" w:firstLine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4B0A4F" w:rsidP="008F3509">
                  <w:pPr>
                    <w:tabs>
                      <w:tab w:val="num" w:pos="432"/>
                    </w:tabs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Update on Budget 2019/</w:t>
                  </w:r>
                  <w:r w:rsidR="009A727B">
                    <w:rPr>
                      <w:rFonts w:ascii="Arial" w:hAnsi="Arial" w:cs="Arial"/>
                      <w:b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485C60" w:rsidP="00F773F7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23/18</w:t>
                  </w:r>
                  <w:r w:rsidR="008F3509"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F3509" w:rsidRPr="003C219D" w:rsidTr="004377B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511440" w:rsidRDefault="00F773F7" w:rsidP="00BA1E8F">
                  <w:pPr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Roger Downey</w:t>
                  </w:r>
                  <w:r w:rsidR="004C30E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presented the paper and</w:t>
                  </w: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BA1E8F">
                    <w:rPr>
                      <w:rFonts w:ascii="Arial" w:hAnsi="Arial" w:cs="Arial"/>
                      <w:bCs/>
                      <w:sz w:val="24"/>
                      <w:szCs w:val="24"/>
                    </w:rPr>
                    <w:t>discussed</w:t>
                  </w:r>
                  <w:r w:rsidR="00511440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the latest Resource position, the proposed consultation on Tuition Fees</w:t>
                  </w:r>
                  <w:r w:rsidR="00F05765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as part of a wider DoF consultation</w:t>
                  </w:r>
                  <w:r w:rsidR="00511440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and the imminent </w:t>
                  </w:r>
                  <w:r w:rsidR="00F05765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2019/20 </w:t>
                  </w:r>
                  <w:r w:rsidR="00511440">
                    <w:rPr>
                      <w:rFonts w:ascii="Arial" w:hAnsi="Arial" w:cs="Arial"/>
                      <w:bCs/>
                      <w:sz w:val="24"/>
                      <w:szCs w:val="24"/>
                    </w:rPr>
                    <w:t>Brexit funding exercise to be commission</w:t>
                  </w:r>
                  <w:r w:rsidR="00F05765">
                    <w:rPr>
                      <w:rFonts w:ascii="Arial" w:hAnsi="Arial" w:cs="Arial"/>
                      <w:bCs/>
                      <w:sz w:val="24"/>
                      <w:szCs w:val="24"/>
                    </w:rPr>
                    <w:t>ed</w:t>
                  </w:r>
                  <w:r w:rsidR="00511440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by DoF.  </w:t>
                  </w:r>
                  <w:r w:rsidR="00BA1E8F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BA1E8F" w:rsidRDefault="00BA1E8F" w:rsidP="00B5447B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On Capital </w:t>
                  </w:r>
                  <w:r w:rsidR="00511440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the FC </w:t>
                  </w:r>
                  <w:r w:rsidR="00F05765">
                    <w:rPr>
                      <w:rFonts w:ascii="Arial" w:hAnsi="Arial" w:cs="Arial"/>
                      <w:bCs/>
                      <w:sz w:val="24"/>
                      <w:szCs w:val="24"/>
                    </w:rPr>
                    <w:t>discussed the latest</w:t>
                  </w:r>
                  <w:r w:rsidR="00511440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bids </w:t>
                  </w:r>
                  <w:r w:rsidR="00F05765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that were </w:t>
                  </w:r>
                  <w:r w:rsidR="00511440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submitted to DoF for the 2019/20 and 2020/21 financial years and that DoF had advised that there were in line with </w:t>
                  </w:r>
                  <w:r w:rsidR="00F05765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its </w:t>
                  </w:r>
                  <w:r w:rsidR="00511440">
                    <w:rPr>
                      <w:rFonts w:ascii="Arial" w:hAnsi="Arial" w:cs="Arial"/>
                      <w:bCs/>
                      <w:sz w:val="24"/>
                      <w:szCs w:val="24"/>
                    </w:rPr>
                    <w:t>expectations.</w:t>
                  </w:r>
                </w:p>
                <w:p w:rsidR="00511440" w:rsidRDefault="00511440" w:rsidP="00B5447B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511440" w:rsidRDefault="00511440" w:rsidP="00B5447B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FC noted the contents of the paper.</w:t>
                  </w:r>
                </w:p>
                <w:p w:rsidR="008F3509" w:rsidRPr="003C219D" w:rsidRDefault="008F3509" w:rsidP="00B5447B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D63" w:rsidRPr="003C219D" w:rsidRDefault="00151D63" w:rsidP="003509B6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BA1E8F" w:rsidRDefault="00BA1E8F" w:rsidP="003509B6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BA1E8F" w:rsidRDefault="00BA1E8F" w:rsidP="003509B6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BA1E8F" w:rsidRDefault="00BA1E8F" w:rsidP="003509B6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BA1E8F" w:rsidRDefault="00BA1E8F" w:rsidP="003509B6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BA1E8F" w:rsidRDefault="00BA1E8F" w:rsidP="003509B6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151D63" w:rsidRPr="00F925BA" w:rsidRDefault="00151D63" w:rsidP="003509B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F3509" w:rsidRPr="003C219D" w:rsidTr="004377B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511440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iCs/>
                      <w:sz w:val="24"/>
                      <w:szCs w:val="24"/>
                    </w:rPr>
                    <w:t>Direct Award Contracts</w:t>
                  </w:r>
                  <w:r>
                    <w:rPr>
                      <w:rFonts w:ascii="Arial" w:hAnsi="Arial" w:cs="Arial"/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  <w:r w:rsidRPr="00B5447B">
                    <w:rPr>
                      <w:rFonts w:ascii="Arial" w:hAnsi="Arial" w:cs="Arial"/>
                      <w:b/>
                      <w:bCs/>
                      <w:iCs/>
                      <w:sz w:val="24"/>
                      <w:szCs w:val="24"/>
                    </w:rPr>
                    <w:t>(DACs)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511440" w:rsidP="00F96E61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24/18</w:t>
                  </w:r>
                </w:p>
              </w:tc>
            </w:tr>
            <w:tr w:rsidR="008F3509" w:rsidRPr="003C219D" w:rsidTr="004377B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1440" w:rsidRDefault="00511440" w:rsidP="00F96E61">
                  <w:pPr>
                    <w:spacing w:after="0"/>
                    <w:contextualSpacing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05765" w:rsidRDefault="00511440" w:rsidP="00F96E61">
                  <w:pPr>
                    <w:spacing w:after="0"/>
                    <w:contextualSpacing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sz w:val="24"/>
                      <w:szCs w:val="24"/>
                    </w:rPr>
                    <w:t xml:space="preserve">David Reid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presented the paper o</w:t>
                  </w:r>
                  <w:r w:rsidRPr="003C219D">
                    <w:rPr>
                      <w:rFonts w:ascii="Arial" w:hAnsi="Arial" w:cs="Arial"/>
                      <w:sz w:val="24"/>
                      <w:szCs w:val="24"/>
                    </w:rPr>
                    <w:t>utlin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ing</w:t>
                  </w:r>
                  <w:r w:rsidRPr="003C219D">
                    <w:rPr>
                      <w:rFonts w:ascii="Arial" w:hAnsi="Arial" w:cs="Arial"/>
                      <w:sz w:val="24"/>
                      <w:szCs w:val="24"/>
                    </w:rPr>
                    <w:t xml:space="preserve"> the Department’s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latest </w:t>
                  </w:r>
                  <w:r w:rsidRPr="003C219D">
                    <w:rPr>
                      <w:rFonts w:ascii="Arial" w:hAnsi="Arial" w:cs="Arial"/>
                      <w:sz w:val="24"/>
                      <w:szCs w:val="24"/>
                    </w:rPr>
                    <w:t xml:space="preserve">position in relation to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DACs</w:t>
                  </w:r>
                  <w:r w:rsidRPr="003C21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with a value greater than £5k in the period 1 April 2018 to 31 August 2018.  </w:t>
                  </w:r>
                </w:p>
                <w:p w:rsidR="00F05765" w:rsidRDefault="00F05765" w:rsidP="00F96E61">
                  <w:pPr>
                    <w:spacing w:after="0"/>
                    <w:contextualSpacing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96E61" w:rsidRDefault="00511440" w:rsidP="00F96E61">
                  <w:pPr>
                    <w:spacing w:after="0"/>
                    <w:contextualSpacing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FC noted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the contents of the paper and discussed those DACs which were awarded in the period under review. </w:t>
                  </w:r>
                </w:p>
                <w:p w:rsidR="00511440" w:rsidRDefault="00511440" w:rsidP="00F96E61">
                  <w:pPr>
                    <w:spacing w:after="0"/>
                    <w:contextualSpacing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511440" w:rsidRDefault="00207C06" w:rsidP="00F96E61">
                  <w:pPr>
                    <w:spacing w:after="0"/>
                    <w:contextualSpacing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David Reid </w:t>
                  </w:r>
                  <w:r w:rsidR="00F05765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also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advised that he would issue a formal remind</w:t>
                  </w:r>
                  <w:r w:rsidR="00A4623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er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in regards to contract management process</w:t>
                  </w:r>
                  <w:r w:rsidR="00A4623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es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to</w:t>
                  </w:r>
                  <w:r w:rsidR="00A4623A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ensure that the use of DACs is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kept to a minimum.   </w:t>
                  </w:r>
                  <w:r w:rsidR="00511440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A4623A" w:rsidRDefault="00A4623A" w:rsidP="00F96E61">
                  <w:pPr>
                    <w:spacing w:after="0"/>
                    <w:contextualSpacing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A4623A" w:rsidRPr="00E3516A" w:rsidRDefault="00A4623A" w:rsidP="00A4623A">
                  <w:pPr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3516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Action Points: </w:t>
                  </w:r>
                </w:p>
                <w:p w:rsidR="00A4623A" w:rsidRPr="00A4623A" w:rsidRDefault="00A4623A" w:rsidP="00A4623A">
                  <w:pPr>
                    <w:spacing w:after="0"/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A4623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Formal reminder to be issued in regards to contract management processes to ensure that the use of DACs is kept to a minimum. </w:t>
                  </w:r>
                </w:p>
                <w:p w:rsidR="00F96E61" w:rsidRPr="003C219D" w:rsidRDefault="00BA1E8F" w:rsidP="00A4623A">
                  <w:pPr>
                    <w:spacing w:after="0"/>
                    <w:contextualSpacing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C219D" w:rsidDel="0002016B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22E9" w:rsidRDefault="004722E9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207C06" w:rsidRDefault="00207C06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207C06" w:rsidRDefault="00207C06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207C06" w:rsidRDefault="00207C06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207C06" w:rsidRDefault="00207C06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207C06" w:rsidRDefault="00207C06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207C06" w:rsidRDefault="00207C06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207C06" w:rsidRDefault="00207C06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207C06" w:rsidRDefault="00207C06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207C06" w:rsidRDefault="00207C06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207C06" w:rsidRDefault="00207C06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A4623A" w:rsidRDefault="00A4623A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A4623A" w:rsidRDefault="00A4623A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A4623A" w:rsidRDefault="00A4623A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A4623A" w:rsidRPr="003C219D" w:rsidRDefault="00A4623A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David Reid</w:t>
                  </w:r>
                </w:p>
              </w:tc>
            </w:tr>
            <w:tr w:rsidR="008F3509" w:rsidRPr="003C219D" w:rsidTr="004377B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5. </w:t>
                  </w: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B2294D" w:rsidP="008F3509">
                  <w:pPr>
                    <w:keepNext/>
                    <w:spacing w:after="0"/>
                    <w:jc w:val="left"/>
                    <w:outlineLvl w:val="1"/>
                    <w:rPr>
                      <w:rFonts w:ascii="Arial" w:eastAsia="Times New Roman" w:hAnsi="Arial" w:cs="Arial"/>
                      <w:b/>
                      <w:bCs/>
                      <w:iCs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sz w:val="24"/>
                      <w:szCs w:val="24"/>
                    </w:rPr>
                    <w:t>Procurement Compliance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B2294D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25/18</w:t>
                  </w:r>
                </w:p>
              </w:tc>
            </w:tr>
            <w:tr w:rsidR="008F3509" w:rsidRPr="003C219D" w:rsidTr="004377B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2294D" w:rsidRPr="00B2294D" w:rsidRDefault="00B2294D" w:rsidP="00B2294D">
                  <w:pPr>
                    <w:spacing w:after="0"/>
                    <w:contextualSpacing/>
                    <w:jc w:val="both"/>
                    <w:outlineLvl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sz w:val="24"/>
                      <w:szCs w:val="24"/>
                    </w:rPr>
                    <w:t xml:space="preserve">David Reid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presented the paper outlining the Department’s compliance with Account NI procurement compliance for contracts and requisitions/purchase orders.  It was also highlighted the Financial Policy Branch’s Procurement team continue to educate individual approvers on how to correctly implement procedures and how to avoid future non-compliance. </w:t>
                  </w: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The FC noted the contents of this paper. </w:t>
                  </w:r>
                </w:p>
                <w:p w:rsidR="00662D63" w:rsidRPr="003C219D" w:rsidRDefault="00662D63" w:rsidP="00662D63">
                  <w:pPr>
                    <w:spacing w:after="0"/>
                    <w:contextualSpacing/>
                    <w:jc w:val="both"/>
                    <w:outlineLvl w:val="0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8F3509" w:rsidRPr="003C219D" w:rsidTr="004377B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B2294D" w:rsidP="008F3509">
                  <w:pPr>
                    <w:keepNext/>
                    <w:spacing w:after="0"/>
                    <w:jc w:val="left"/>
                    <w:outlineLvl w:val="1"/>
                    <w:rPr>
                      <w:rFonts w:ascii="Arial" w:eastAsia="Times New Roman" w:hAnsi="Arial" w:cs="Arial"/>
                      <w:b/>
                      <w:bCs/>
                      <w:iCs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sz w:val="24"/>
                      <w:szCs w:val="24"/>
                    </w:rPr>
                    <w:t>Aged Debt Report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B2294D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26/18</w:t>
                  </w:r>
                </w:p>
              </w:tc>
            </w:tr>
            <w:tr w:rsidR="008F3509" w:rsidRPr="003C219D" w:rsidTr="004377B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9C5727" w:rsidRDefault="00B2294D" w:rsidP="00B2294D">
                  <w:pPr>
                    <w:spacing w:after="0"/>
                    <w:contextualSpacing/>
                    <w:jc w:val="both"/>
                    <w:outlineLvl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sz w:val="24"/>
                      <w:szCs w:val="24"/>
                    </w:rPr>
                    <w:t xml:space="preserve">David Reid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presented the paper and discussed the outstanding debt position for the Department as at 31 July 2018 and the debt movement since the prior report up to 31 March 2018.  </w:t>
                  </w:r>
                  <w:r w:rsidRPr="003C219D">
                    <w:rPr>
                      <w:rFonts w:ascii="Arial" w:hAnsi="Arial" w:cs="Arial"/>
                      <w:sz w:val="24"/>
                      <w:szCs w:val="24"/>
                    </w:rPr>
                    <w:t xml:space="preserve">The FC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discussed the trends and </w:t>
                  </w:r>
                  <w:r w:rsidRPr="003C219D">
                    <w:rPr>
                      <w:rFonts w:ascii="Arial" w:hAnsi="Arial" w:cs="Arial"/>
                      <w:sz w:val="24"/>
                      <w:szCs w:val="24"/>
                    </w:rPr>
                    <w:t>note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d</w:t>
                  </w:r>
                  <w:r w:rsidRPr="003C219D">
                    <w:rPr>
                      <w:rFonts w:ascii="Arial" w:hAnsi="Arial" w:cs="Arial"/>
                      <w:sz w:val="24"/>
                      <w:szCs w:val="24"/>
                    </w:rPr>
                    <w:t xml:space="preserve"> the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contents of the </w:t>
                  </w:r>
                  <w:r w:rsidRPr="003C219D">
                    <w:rPr>
                      <w:rFonts w:ascii="Arial" w:hAnsi="Arial" w:cs="Arial"/>
                      <w:sz w:val="24"/>
                      <w:szCs w:val="24"/>
                    </w:rPr>
                    <w:t>paper.</w:t>
                  </w:r>
                </w:p>
                <w:p w:rsidR="00B2294D" w:rsidRPr="003C219D" w:rsidRDefault="00B2294D" w:rsidP="00B2294D">
                  <w:pPr>
                    <w:spacing w:after="0"/>
                    <w:contextualSpacing/>
                    <w:jc w:val="both"/>
                    <w:outlineLvl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047092" w:rsidRPr="003C219D" w:rsidTr="004377B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7092" w:rsidRPr="003C219D" w:rsidRDefault="00B2294D" w:rsidP="0004709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7</w:t>
                  </w:r>
                  <w:r w:rsidR="00047092"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7092" w:rsidRPr="003C219D" w:rsidRDefault="00047092" w:rsidP="00047092">
                  <w:pPr>
                    <w:keepNext/>
                    <w:spacing w:after="0"/>
                    <w:jc w:val="left"/>
                    <w:outlineLvl w:val="1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AOB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7092" w:rsidRPr="003C219D" w:rsidRDefault="00047092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047092" w:rsidRPr="003C219D" w:rsidTr="004377B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7092" w:rsidRPr="003C219D" w:rsidRDefault="00047092" w:rsidP="0004709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5765" w:rsidRDefault="00F05765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47092" w:rsidRDefault="00A35AC3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None.</w:t>
                  </w:r>
                </w:p>
                <w:p w:rsidR="00F05765" w:rsidRPr="003C219D" w:rsidRDefault="00F05765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7092" w:rsidRPr="003C219D" w:rsidRDefault="00047092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F3509" w:rsidRPr="003C219D" w:rsidRDefault="008F3509" w:rsidP="008F3509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8F3509" w:rsidRPr="003C219D" w:rsidRDefault="008F3509" w:rsidP="008F3509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1903F1" w:rsidRPr="003C219D" w:rsidRDefault="001903F1" w:rsidP="00B2294D">
      <w:pPr>
        <w:jc w:val="both"/>
        <w:rPr>
          <w:rFonts w:ascii="Arial" w:hAnsi="Arial" w:cs="Arial"/>
          <w:sz w:val="24"/>
          <w:szCs w:val="24"/>
        </w:rPr>
      </w:pPr>
    </w:p>
    <w:sectPr w:rsidR="001903F1" w:rsidRPr="003C219D" w:rsidSect="00322BE1">
      <w:headerReference w:type="default" r:id="rId8"/>
      <w:footerReference w:type="default" r:id="rId9"/>
      <w:headerReference w:type="first" r:id="rId10"/>
      <w:pgSz w:w="11906" w:h="16838" w:code="9"/>
      <w:pgMar w:top="1134" w:right="1440" w:bottom="567" w:left="1134" w:header="709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D7F" w:rsidRDefault="00795D7F" w:rsidP="007963B1">
      <w:pPr>
        <w:spacing w:after="0"/>
      </w:pPr>
      <w:r>
        <w:separator/>
      </w:r>
    </w:p>
  </w:endnote>
  <w:endnote w:type="continuationSeparator" w:id="0">
    <w:p w:rsidR="00795D7F" w:rsidRDefault="00795D7F" w:rsidP="007963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86615"/>
      <w:docPartObj>
        <w:docPartGallery w:val="Page Numbers (Bottom of Page)"/>
        <w:docPartUnique/>
      </w:docPartObj>
    </w:sdtPr>
    <w:sdtEndPr/>
    <w:sdtContent>
      <w:p w:rsidR="00F27BA2" w:rsidRDefault="00F27BA2">
        <w:pPr>
          <w:pStyle w:val="Footer"/>
          <w:jc w:val="center"/>
        </w:pPr>
      </w:p>
      <w:p w:rsidR="00F27BA2" w:rsidRDefault="00864016">
        <w:pPr>
          <w:pStyle w:val="Footer"/>
          <w:jc w:val="center"/>
        </w:pPr>
        <w:r w:rsidRPr="00BD33C7">
          <w:rPr>
            <w:rFonts w:ascii="Arial" w:hAnsi="Arial" w:cs="Arial"/>
            <w:sz w:val="24"/>
            <w:szCs w:val="24"/>
          </w:rPr>
          <w:fldChar w:fldCharType="begin"/>
        </w:r>
        <w:r w:rsidR="00F27BA2" w:rsidRPr="00BD33C7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BD33C7">
          <w:rPr>
            <w:rFonts w:ascii="Arial" w:hAnsi="Arial" w:cs="Arial"/>
            <w:sz w:val="24"/>
            <w:szCs w:val="24"/>
          </w:rPr>
          <w:fldChar w:fldCharType="separate"/>
        </w:r>
        <w:r w:rsidR="00EA3086">
          <w:rPr>
            <w:rFonts w:ascii="Arial" w:hAnsi="Arial" w:cs="Arial"/>
            <w:noProof/>
            <w:sz w:val="24"/>
            <w:szCs w:val="24"/>
          </w:rPr>
          <w:t>2</w:t>
        </w:r>
        <w:r w:rsidRPr="00BD33C7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F27BA2" w:rsidRDefault="00F27BA2" w:rsidP="00BB70B0">
    <w:pPr>
      <w:pStyle w:val="Footer"/>
      <w:ind w:right="70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D7F" w:rsidRDefault="00795D7F" w:rsidP="007963B1">
      <w:pPr>
        <w:spacing w:after="0"/>
      </w:pPr>
      <w:r>
        <w:separator/>
      </w:r>
    </w:p>
  </w:footnote>
  <w:footnote w:type="continuationSeparator" w:id="0">
    <w:p w:rsidR="00795D7F" w:rsidRDefault="00795D7F" w:rsidP="007963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BE1" w:rsidRPr="00B5447B" w:rsidRDefault="000758E4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F</w:t>
    </w:r>
    <w:r w:rsidR="00322BE1" w:rsidRPr="00B5447B">
      <w:rPr>
        <w:rFonts w:ascii="Arial" w:hAnsi="Arial" w:cs="Arial"/>
        <w:b/>
        <w:sz w:val="24"/>
        <w:szCs w:val="24"/>
      </w:rPr>
      <w:t xml:space="preserve">C </w:t>
    </w:r>
    <w:r w:rsidR="00551581">
      <w:rPr>
        <w:rFonts w:ascii="Arial" w:hAnsi="Arial" w:cs="Arial"/>
        <w:b/>
        <w:sz w:val="24"/>
        <w:szCs w:val="24"/>
      </w:rPr>
      <w:t>27</w:t>
    </w:r>
    <w:r w:rsidR="00322BE1" w:rsidRPr="00B5447B">
      <w:rPr>
        <w:rFonts w:ascii="Arial" w:hAnsi="Arial" w:cs="Arial"/>
        <w:b/>
        <w:sz w:val="24"/>
        <w:szCs w:val="24"/>
      </w:rPr>
      <w:t>/18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803" w:rsidRPr="002B3803" w:rsidRDefault="002B3803">
    <w:pPr>
      <w:pStyle w:val="Header"/>
      <w:rPr>
        <w:b/>
      </w:rPr>
    </w:pPr>
    <w:r w:rsidRPr="002B3803">
      <w:rPr>
        <w:b/>
      </w:rPr>
      <w:t>FSC 07/18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4306"/>
    <w:multiLevelType w:val="hybridMultilevel"/>
    <w:tmpl w:val="1ADE1FA8"/>
    <w:lvl w:ilvl="0" w:tplc="93D499DC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AE5"/>
    <w:multiLevelType w:val="hybridMultilevel"/>
    <w:tmpl w:val="E4369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57DE1"/>
    <w:multiLevelType w:val="hybridMultilevel"/>
    <w:tmpl w:val="F8464AB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5DD326E"/>
    <w:multiLevelType w:val="hybridMultilevel"/>
    <w:tmpl w:val="D228D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357D"/>
    <w:multiLevelType w:val="hybridMultilevel"/>
    <w:tmpl w:val="7918F3F4"/>
    <w:lvl w:ilvl="0" w:tplc="0809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5" w15:restartNumberingAfterBreak="0">
    <w:nsid w:val="0C695583"/>
    <w:multiLevelType w:val="hybridMultilevel"/>
    <w:tmpl w:val="6F1E5AB0"/>
    <w:lvl w:ilvl="0" w:tplc="08090017">
      <w:start w:val="1"/>
      <w:numFmt w:val="lowerLetter"/>
      <w:lvlText w:val="%1)"/>
      <w:lvlJc w:val="left"/>
      <w:pPr>
        <w:ind w:left="3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3862D77"/>
    <w:multiLevelType w:val="hybridMultilevel"/>
    <w:tmpl w:val="200CD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5157F"/>
    <w:multiLevelType w:val="hybridMultilevel"/>
    <w:tmpl w:val="D3166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2146C3"/>
    <w:multiLevelType w:val="hybridMultilevel"/>
    <w:tmpl w:val="C8FAAB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C5354B"/>
    <w:multiLevelType w:val="hybridMultilevel"/>
    <w:tmpl w:val="587ABA5C"/>
    <w:lvl w:ilvl="0" w:tplc="FE42B88A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A2939"/>
    <w:multiLevelType w:val="hybridMultilevel"/>
    <w:tmpl w:val="63DC4D1C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1E7B1516"/>
    <w:multiLevelType w:val="hybridMultilevel"/>
    <w:tmpl w:val="4A505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140BC"/>
    <w:multiLevelType w:val="hybridMultilevel"/>
    <w:tmpl w:val="CD18CC28"/>
    <w:lvl w:ilvl="0" w:tplc="BC3494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06772"/>
    <w:multiLevelType w:val="hybridMultilevel"/>
    <w:tmpl w:val="2E283DC2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56E0F2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DE4ED8F4">
      <w:start w:val="1"/>
      <w:numFmt w:val="bullet"/>
      <w:lvlText w:val="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color w:val="000000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A8A371B"/>
    <w:multiLevelType w:val="hybridMultilevel"/>
    <w:tmpl w:val="DB224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C0E7A"/>
    <w:multiLevelType w:val="hybridMultilevel"/>
    <w:tmpl w:val="40CE9864"/>
    <w:lvl w:ilvl="0" w:tplc="23ACDE5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271F6"/>
    <w:multiLevelType w:val="hybridMultilevel"/>
    <w:tmpl w:val="28640716"/>
    <w:lvl w:ilvl="0" w:tplc="1D92EED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E4C5841"/>
    <w:multiLevelType w:val="hybridMultilevel"/>
    <w:tmpl w:val="C1F4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378D5"/>
    <w:multiLevelType w:val="hybridMultilevel"/>
    <w:tmpl w:val="A942B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72FA1"/>
    <w:multiLevelType w:val="hybridMultilevel"/>
    <w:tmpl w:val="EE16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06795"/>
    <w:multiLevelType w:val="hybridMultilevel"/>
    <w:tmpl w:val="F77CE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D6B2C"/>
    <w:multiLevelType w:val="hybridMultilevel"/>
    <w:tmpl w:val="72EE73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758EF"/>
    <w:multiLevelType w:val="hybridMultilevel"/>
    <w:tmpl w:val="FF4CA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E6B52"/>
    <w:multiLevelType w:val="hybridMultilevel"/>
    <w:tmpl w:val="CEF4DF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857BB7"/>
    <w:multiLevelType w:val="hybridMultilevel"/>
    <w:tmpl w:val="D4D0B92A"/>
    <w:lvl w:ilvl="0" w:tplc="D9622376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4D3F1F40"/>
    <w:multiLevelType w:val="hybridMultilevel"/>
    <w:tmpl w:val="03E020D2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6" w15:restartNumberingAfterBreak="0">
    <w:nsid w:val="50D66868"/>
    <w:multiLevelType w:val="hybridMultilevel"/>
    <w:tmpl w:val="66902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0A128C"/>
    <w:multiLevelType w:val="hybridMultilevel"/>
    <w:tmpl w:val="65FE24E0"/>
    <w:lvl w:ilvl="0" w:tplc="24120E16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B3594"/>
    <w:multiLevelType w:val="hybridMultilevel"/>
    <w:tmpl w:val="3FF86794"/>
    <w:lvl w:ilvl="0" w:tplc="A96C3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6C78CE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14ABAA6" w:tentative="1">
      <w:start w:val="1"/>
      <w:numFmt w:val="lowerRoman"/>
      <w:lvlText w:val="%3."/>
      <w:lvlJc w:val="right"/>
      <w:pPr>
        <w:ind w:left="2160" w:hanging="180"/>
      </w:pPr>
    </w:lvl>
    <w:lvl w:ilvl="3" w:tplc="18B8CF6C" w:tentative="1">
      <w:start w:val="1"/>
      <w:numFmt w:val="decimal"/>
      <w:lvlText w:val="%4."/>
      <w:lvlJc w:val="left"/>
      <w:pPr>
        <w:ind w:left="2880" w:hanging="360"/>
      </w:pPr>
    </w:lvl>
    <w:lvl w:ilvl="4" w:tplc="104CB996" w:tentative="1">
      <w:start w:val="1"/>
      <w:numFmt w:val="lowerLetter"/>
      <w:lvlText w:val="%5."/>
      <w:lvlJc w:val="left"/>
      <w:pPr>
        <w:ind w:left="3600" w:hanging="360"/>
      </w:pPr>
    </w:lvl>
    <w:lvl w:ilvl="5" w:tplc="5B30BAEA" w:tentative="1">
      <w:start w:val="1"/>
      <w:numFmt w:val="lowerRoman"/>
      <w:lvlText w:val="%6."/>
      <w:lvlJc w:val="right"/>
      <w:pPr>
        <w:ind w:left="4320" w:hanging="180"/>
      </w:pPr>
    </w:lvl>
    <w:lvl w:ilvl="6" w:tplc="4D947652" w:tentative="1">
      <w:start w:val="1"/>
      <w:numFmt w:val="decimal"/>
      <w:lvlText w:val="%7."/>
      <w:lvlJc w:val="left"/>
      <w:pPr>
        <w:ind w:left="5040" w:hanging="360"/>
      </w:pPr>
    </w:lvl>
    <w:lvl w:ilvl="7" w:tplc="998044B6" w:tentative="1">
      <w:start w:val="1"/>
      <w:numFmt w:val="lowerLetter"/>
      <w:lvlText w:val="%8."/>
      <w:lvlJc w:val="left"/>
      <w:pPr>
        <w:ind w:left="5760" w:hanging="360"/>
      </w:pPr>
    </w:lvl>
    <w:lvl w:ilvl="8" w:tplc="8C946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9557C"/>
    <w:multiLevelType w:val="hybridMultilevel"/>
    <w:tmpl w:val="19C4EC28"/>
    <w:lvl w:ilvl="0" w:tplc="5602E0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95ADB"/>
    <w:multiLevelType w:val="hybridMultilevel"/>
    <w:tmpl w:val="A2CA9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F129A"/>
    <w:multiLevelType w:val="hybridMultilevel"/>
    <w:tmpl w:val="A72E1C48"/>
    <w:lvl w:ilvl="0" w:tplc="08090017">
      <w:start w:val="1"/>
      <w:numFmt w:val="lowerLetter"/>
      <w:lvlText w:val="%1)"/>
      <w:lvlJc w:val="left"/>
      <w:pPr>
        <w:ind w:left="46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2" w15:restartNumberingAfterBreak="0">
    <w:nsid w:val="5A216131"/>
    <w:multiLevelType w:val="hybridMultilevel"/>
    <w:tmpl w:val="1B60A90C"/>
    <w:lvl w:ilvl="0" w:tplc="C042177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5F673829"/>
    <w:multiLevelType w:val="hybridMultilevel"/>
    <w:tmpl w:val="752C72A4"/>
    <w:lvl w:ilvl="0" w:tplc="620E4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8966DB"/>
    <w:multiLevelType w:val="hybridMultilevel"/>
    <w:tmpl w:val="40D0E9DE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5" w15:restartNumberingAfterBreak="0">
    <w:nsid w:val="64402ED3"/>
    <w:multiLevelType w:val="hybridMultilevel"/>
    <w:tmpl w:val="18CC9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F467D"/>
    <w:multiLevelType w:val="hybridMultilevel"/>
    <w:tmpl w:val="C05060AA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37" w15:restartNumberingAfterBreak="0">
    <w:nsid w:val="697F0DAF"/>
    <w:multiLevelType w:val="hybridMultilevel"/>
    <w:tmpl w:val="4F0253D0"/>
    <w:lvl w:ilvl="0" w:tplc="08090017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C1B61"/>
    <w:multiLevelType w:val="hybridMultilevel"/>
    <w:tmpl w:val="3D6CC7D8"/>
    <w:lvl w:ilvl="0" w:tplc="0809000F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  <w:b w:val="0"/>
      </w:rPr>
    </w:lvl>
    <w:lvl w:ilvl="1" w:tplc="08090019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2" w:tplc="0809001B">
      <w:start w:val="1"/>
      <w:numFmt w:val="lowerLetter"/>
      <w:lvlText w:val="%3."/>
      <w:lvlJc w:val="left"/>
      <w:pPr>
        <w:tabs>
          <w:tab w:val="num" w:pos="1631"/>
        </w:tabs>
        <w:ind w:left="1631" w:hanging="360"/>
      </w:pPr>
      <w:rPr>
        <w:rFonts w:hint="default"/>
      </w:rPr>
    </w:lvl>
    <w:lvl w:ilvl="3" w:tplc="0809000F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39" w15:restartNumberingAfterBreak="0">
    <w:nsid w:val="71837064"/>
    <w:multiLevelType w:val="hybridMultilevel"/>
    <w:tmpl w:val="9F620104"/>
    <w:lvl w:ilvl="0" w:tplc="AC941E80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8FB1AB6"/>
    <w:multiLevelType w:val="hybridMultilevel"/>
    <w:tmpl w:val="C696EFFA"/>
    <w:lvl w:ilvl="0" w:tplc="0809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41" w15:restartNumberingAfterBreak="0">
    <w:nsid w:val="7B5E0679"/>
    <w:multiLevelType w:val="hybridMultilevel"/>
    <w:tmpl w:val="F72E6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36F9F"/>
    <w:multiLevelType w:val="hybridMultilevel"/>
    <w:tmpl w:val="F424C3B8"/>
    <w:lvl w:ilvl="0" w:tplc="0809000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38" w:hanging="360"/>
      </w:pPr>
      <w:rPr>
        <w:rFonts w:ascii="Wingdings" w:hAnsi="Wingdings" w:hint="default"/>
      </w:rPr>
    </w:lvl>
  </w:abstractNum>
  <w:abstractNum w:abstractNumId="43" w15:restartNumberingAfterBreak="0">
    <w:nsid w:val="7DC94F2E"/>
    <w:multiLevelType w:val="hybridMultilevel"/>
    <w:tmpl w:val="9864CC98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4" w15:restartNumberingAfterBreak="0">
    <w:nsid w:val="7DE93500"/>
    <w:multiLevelType w:val="hybridMultilevel"/>
    <w:tmpl w:val="1A1C2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430FEB"/>
    <w:multiLevelType w:val="hybridMultilevel"/>
    <w:tmpl w:val="8F7CF38A"/>
    <w:lvl w:ilvl="0" w:tplc="9C808B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4"/>
  </w:num>
  <w:num w:numId="3">
    <w:abstractNumId w:val="7"/>
  </w:num>
  <w:num w:numId="4">
    <w:abstractNumId w:val="23"/>
  </w:num>
  <w:num w:numId="5">
    <w:abstractNumId w:val="9"/>
  </w:num>
  <w:num w:numId="6">
    <w:abstractNumId w:val="0"/>
  </w:num>
  <w:num w:numId="7">
    <w:abstractNumId w:val="27"/>
  </w:num>
  <w:num w:numId="8">
    <w:abstractNumId w:val="31"/>
  </w:num>
  <w:num w:numId="9">
    <w:abstractNumId w:val="39"/>
  </w:num>
  <w:num w:numId="10">
    <w:abstractNumId w:val="5"/>
  </w:num>
  <w:num w:numId="11">
    <w:abstractNumId w:val="37"/>
  </w:num>
  <w:num w:numId="12">
    <w:abstractNumId w:val="45"/>
  </w:num>
  <w:num w:numId="13">
    <w:abstractNumId w:val="6"/>
  </w:num>
  <w:num w:numId="14">
    <w:abstractNumId w:val="3"/>
  </w:num>
  <w:num w:numId="15">
    <w:abstractNumId w:val="26"/>
  </w:num>
  <w:num w:numId="16">
    <w:abstractNumId w:val="36"/>
  </w:num>
  <w:num w:numId="17">
    <w:abstractNumId w:val="35"/>
  </w:num>
  <w:num w:numId="18">
    <w:abstractNumId w:val="33"/>
  </w:num>
  <w:num w:numId="19">
    <w:abstractNumId w:val="10"/>
  </w:num>
  <w:num w:numId="20">
    <w:abstractNumId w:val="28"/>
  </w:num>
  <w:num w:numId="21">
    <w:abstractNumId w:val="2"/>
  </w:num>
  <w:num w:numId="22">
    <w:abstractNumId w:val="21"/>
  </w:num>
  <w:num w:numId="23">
    <w:abstractNumId w:val="18"/>
  </w:num>
  <w:num w:numId="24">
    <w:abstractNumId w:val="25"/>
  </w:num>
  <w:num w:numId="25">
    <w:abstractNumId w:val="29"/>
  </w:num>
  <w:num w:numId="26">
    <w:abstractNumId w:val="30"/>
  </w:num>
  <w:num w:numId="27">
    <w:abstractNumId w:val="4"/>
  </w:num>
  <w:num w:numId="28">
    <w:abstractNumId w:val="40"/>
  </w:num>
  <w:num w:numId="29">
    <w:abstractNumId w:val="16"/>
  </w:num>
  <w:num w:numId="30">
    <w:abstractNumId w:val="32"/>
  </w:num>
  <w:num w:numId="31">
    <w:abstractNumId w:val="38"/>
  </w:num>
  <w:num w:numId="32">
    <w:abstractNumId w:val="43"/>
  </w:num>
  <w:num w:numId="33">
    <w:abstractNumId w:val="22"/>
  </w:num>
  <w:num w:numId="34">
    <w:abstractNumId w:val="1"/>
  </w:num>
  <w:num w:numId="35">
    <w:abstractNumId w:val="34"/>
  </w:num>
  <w:num w:numId="36">
    <w:abstractNumId w:val="11"/>
  </w:num>
  <w:num w:numId="37">
    <w:abstractNumId w:val="8"/>
  </w:num>
  <w:num w:numId="38">
    <w:abstractNumId w:val="20"/>
  </w:num>
  <w:num w:numId="39">
    <w:abstractNumId w:val="44"/>
  </w:num>
  <w:num w:numId="40">
    <w:abstractNumId w:val="41"/>
  </w:num>
  <w:num w:numId="41">
    <w:abstractNumId w:val="19"/>
  </w:num>
  <w:num w:numId="42">
    <w:abstractNumId w:val="42"/>
  </w:num>
  <w:num w:numId="43">
    <w:abstractNumId w:val="12"/>
  </w:num>
  <w:num w:numId="44">
    <w:abstractNumId w:val="14"/>
  </w:num>
  <w:num w:numId="45">
    <w:abstractNumId w:val="15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388"/>
    <w:rsid w:val="00014C06"/>
    <w:rsid w:val="0002016B"/>
    <w:rsid w:val="00026F5C"/>
    <w:rsid w:val="000371F1"/>
    <w:rsid w:val="00041081"/>
    <w:rsid w:val="00044A06"/>
    <w:rsid w:val="00047092"/>
    <w:rsid w:val="00061AAA"/>
    <w:rsid w:val="000638A2"/>
    <w:rsid w:val="000758E4"/>
    <w:rsid w:val="00085130"/>
    <w:rsid w:val="0009301E"/>
    <w:rsid w:val="00097291"/>
    <w:rsid w:val="000A7B91"/>
    <w:rsid w:val="000C2D9B"/>
    <w:rsid w:val="000F25AC"/>
    <w:rsid w:val="000F2F53"/>
    <w:rsid w:val="00100E70"/>
    <w:rsid w:val="0011379C"/>
    <w:rsid w:val="00130FED"/>
    <w:rsid w:val="00134103"/>
    <w:rsid w:val="001470DE"/>
    <w:rsid w:val="00151D63"/>
    <w:rsid w:val="001662CE"/>
    <w:rsid w:val="00172736"/>
    <w:rsid w:val="00174BA5"/>
    <w:rsid w:val="00182465"/>
    <w:rsid w:val="00187FE5"/>
    <w:rsid w:val="001903F1"/>
    <w:rsid w:val="001910BD"/>
    <w:rsid w:val="001A7A4E"/>
    <w:rsid w:val="001A7B3C"/>
    <w:rsid w:val="001B45CC"/>
    <w:rsid w:val="001B4761"/>
    <w:rsid w:val="001B4C7E"/>
    <w:rsid w:val="001C1682"/>
    <w:rsid w:val="001C335C"/>
    <w:rsid w:val="001D65A6"/>
    <w:rsid w:val="001E3EF5"/>
    <w:rsid w:val="00200E8B"/>
    <w:rsid w:val="00207C06"/>
    <w:rsid w:val="00215096"/>
    <w:rsid w:val="00216EC7"/>
    <w:rsid w:val="00217ED1"/>
    <w:rsid w:val="00220F8F"/>
    <w:rsid w:val="00224545"/>
    <w:rsid w:val="002354B2"/>
    <w:rsid w:val="00251874"/>
    <w:rsid w:val="00251F6E"/>
    <w:rsid w:val="00282CE5"/>
    <w:rsid w:val="0028607D"/>
    <w:rsid w:val="002A199C"/>
    <w:rsid w:val="002A45D4"/>
    <w:rsid w:val="002A585F"/>
    <w:rsid w:val="002B2C15"/>
    <w:rsid w:val="002B3803"/>
    <w:rsid w:val="002C1BCB"/>
    <w:rsid w:val="002D1F63"/>
    <w:rsid w:val="002F7C31"/>
    <w:rsid w:val="00301A37"/>
    <w:rsid w:val="00310F65"/>
    <w:rsid w:val="0031365B"/>
    <w:rsid w:val="003167F0"/>
    <w:rsid w:val="00316F8D"/>
    <w:rsid w:val="00317989"/>
    <w:rsid w:val="003201DA"/>
    <w:rsid w:val="00322113"/>
    <w:rsid w:val="00322BE1"/>
    <w:rsid w:val="003232F2"/>
    <w:rsid w:val="003330DC"/>
    <w:rsid w:val="00345DAB"/>
    <w:rsid w:val="003509B6"/>
    <w:rsid w:val="0035122B"/>
    <w:rsid w:val="00360F08"/>
    <w:rsid w:val="00361497"/>
    <w:rsid w:val="003668C3"/>
    <w:rsid w:val="00366C3B"/>
    <w:rsid w:val="00367982"/>
    <w:rsid w:val="003719D0"/>
    <w:rsid w:val="003819BF"/>
    <w:rsid w:val="0039373B"/>
    <w:rsid w:val="00396F15"/>
    <w:rsid w:val="0039708F"/>
    <w:rsid w:val="003B24FA"/>
    <w:rsid w:val="003B3492"/>
    <w:rsid w:val="003B39C8"/>
    <w:rsid w:val="003C219D"/>
    <w:rsid w:val="003C59C5"/>
    <w:rsid w:val="003F5E00"/>
    <w:rsid w:val="0040441B"/>
    <w:rsid w:val="004103EB"/>
    <w:rsid w:val="00413A9A"/>
    <w:rsid w:val="00415833"/>
    <w:rsid w:val="004207C9"/>
    <w:rsid w:val="0043698B"/>
    <w:rsid w:val="00436C9D"/>
    <w:rsid w:val="004373D3"/>
    <w:rsid w:val="00440652"/>
    <w:rsid w:val="00441860"/>
    <w:rsid w:val="00462922"/>
    <w:rsid w:val="004629CF"/>
    <w:rsid w:val="00462E11"/>
    <w:rsid w:val="00466729"/>
    <w:rsid w:val="004722E9"/>
    <w:rsid w:val="00485C60"/>
    <w:rsid w:val="004B0A4F"/>
    <w:rsid w:val="004C30ED"/>
    <w:rsid w:val="004F4E8A"/>
    <w:rsid w:val="00505A67"/>
    <w:rsid w:val="00511440"/>
    <w:rsid w:val="00512DB7"/>
    <w:rsid w:val="0052004A"/>
    <w:rsid w:val="00526137"/>
    <w:rsid w:val="00534665"/>
    <w:rsid w:val="00537217"/>
    <w:rsid w:val="00537315"/>
    <w:rsid w:val="005513A1"/>
    <w:rsid w:val="00551581"/>
    <w:rsid w:val="00551DDC"/>
    <w:rsid w:val="00555CF0"/>
    <w:rsid w:val="0056122A"/>
    <w:rsid w:val="005701FE"/>
    <w:rsid w:val="00574032"/>
    <w:rsid w:val="00590D1D"/>
    <w:rsid w:val="005A2C4B"/>
    <w:rsid w:val="005A3D98"/>
    <w:rsid w:val="005A6137"/>
    <w:rsid w:val="005A7631"/>
    <w:rsid w:val="005B39FB"/>
    <w:rsid w:val="005C1839"/>
    <w:rsid w:val="005D1256"/>
    <w:rsid w:val="005D58B5"/>
    <w:rsid w:val="005E3A60"/>
    <w:rsid w:val="006014AD"/>
    <w:rsid w:val="00620C10"/>
    <w:rsid w:val="00621923"/>
    <w:rsid w:val="00640583"/>
    <w:rsid w:val="00640BD0"/>
    <w:rsid w:val="00646D72"/>
    <w:rsid w:val="0065268A"/>
    <w:rsid w:val="00652F2E"/>
    <w:rsid w:val="00656F1C"/>
    <w:rsid w:val="00657FB4"/>
    <w:rsid w:val="006628E5"/>
    <w:rsid w:val="00662D63"/>
    <w:rsid w:val="0068603F"/>
    <w:rsid w:val="00692B3C"/>
    <w:rsid w:val="006C0907"/>
    <w:rsid w:val="006C1ECD"/>
    <w:rsid w:val="006C1F07"/>
    <w:rsid w:val="006C692D"/>
    <w:rsid w:val="006D34D6"/>
    <w:rsid w:val="006E3CB8"/>
    <w:rsid w:val="006E5AB3"/>
    <w:rsid w:val="006F4A8F"/>
    <w:rsid w:val="00707D5F"/>
    <w:rsid w:val="007103DD"/>
    <w:rsid w:val="00723B56"/>
    <w:rsid w:val="007343DC"/>
    <w:rsid w:val="0074355F"/>
    <w:rsid w:val="007671BD"/>
    <w:rsid w:val="0078318E"/>
    <w:rsid w:val="00784773"/>
    <w:rsid w:val="00795D7F"/>
    <w:rsid w:val="007963B1"/>
    <w:rsid w:val="007A3B1A"/>
    <w:rsid w:val="007A6845"/>
    <w:rsid w:val="007B004C"/>
    <w:rsid w:val="007B0BBA"/>
    <w:rsid w:val="007C4FFE"/>
    <w:rsid w:val="007D2E17"/>
    <w:rsid w:val="008151E5"/>
    <w:rsid w:val="00830E97"/>
    <w:rsid w:val="008312F1"/>
    <w:rsid w:val="0083191A"/>
    <w:rsid w:val="00832438"/>
    <w:rsid w:val="00832874"/>
    <w:rsid w:val="0084333C"/>
    <w:rsid w:val="008514EE"/>
    <w:rsid w:val="008517E6"/>
    <w:rsid w:val="00854BC8"/>
    <w:rsid w:val="00861C48"/>
    <w:rsid w:val="00862E8D"/>
    <w:rsid w:val="00864016"/>
    <w:rsid w:val="008649EF"/>
    <w:rsid w:val="00865D5A"/>
    <w:rsid w:val="00867092"/>
    <w:rsid w:val="0088226B"/>
    <w:rsid w:val="008877B7"/>
    <w:rsid w:val="008A22E0"/>
    <w:rsid w:val="008A453B"/>
    <w:rsid w:val="008B0EFB"/>
    <w:rsid w:val="008B2137"/>
    <w:rsid w:val="008B6207"/>
    <w:rsid w:val="008C61B0"/>
    <w:rsid w:val="008D2A10"/>
    <w:rsid w:val="008D369F"/>
    <w:rsid w:val="008F02E5"/>
    <w:rsid w:val="008F29B1"/>
    <w:rsid w:val="008F3085"/>
    <w:rsid w:val="008F3509"/>
    <w:rsid w:val="008F6515"/>
    <w:rsid w:val="00903E8B"/>
    <w:rsid w:val="00913FEB"/>
    <w:rsid w:val="00915A2F"/>
    <w:rsid w:val="0092378C"/>
    <w:rsid w:val="00940878"/>
    <w:rsid w:val="009422BE"/>
    <w:rsid w:val="00965845"/>
    <w:rsid w:val="009771AB"/>
    <w:rsid w:val="0099061E"/>
    <w:rsid w:val="009A7179"/>
    <w:rsid w:val="009A727B"/>
    <w:rsid w:val="009B1415"/>
    <w:rsid w:val="009B26CB"/>
    <w:rsid w:val="009B78CB"/>
    <w:rsid w:val="009C18F9"/>
    <w:rsid w:val="009C40C2"/>
    <w:rsid w:val="009C5727"/>
    <w:rsid w:val="009E5211"/>
    <w:rsid w:val="009F2586"/>
    <w:rsid w:val="009F4B05"/>
    <w:rsid w:val="009F5C65"/>
    <w:rsid w:val="00A02BBE"/>
    <w:rsid w:val="00A03C5A"/>
    <w:rsid w:val="00A04CB6"/>
    <w:rsid w:val="00A14F15"/>
    <w:rsid w:val="00A30F20"/>
    <w:rsid w:val="00A35AC3"/>
    <w:rsid w:val="00A4297D"/>
    <w:rsid w:val="00A4557A"/>
    <w:rsid w:val="00A4623A"/>
    <w:rsid w:val="00A5204A"/>
    <w:rsid w:val="00A6280E"/>
    <w:rsid w:val="00A66966"/>
    <w:rsid w:val="00A8105B"/>
    <w:rsid w:val="00A92769"/>
    <w:rsid w:val="00AB12C6"/>
    <w:rsid w:val="00AB1C81"/>
    <w:rsid w:val="00AB36AA"/>
    <w:rsid w:val="00AE23CF"/>
    <w:rsid w:val="00AF49E8"/>
    <w:rsid w:val="00B02A05"/>
    <w:rsid w:val="00B07A35"/>
    <w:rsid w:val="00B11015"/>
    <w:rsid w:val="00B209C4"/>
    <w:rsid w:val="00B2294D"/>
    <w:rsid w:val="00B413D1"/>
    <w:rsid w:val="00B46922"/>
    <w:rsid w:val="00B5447B"/>
    <w:rsid w:val="00B54F60"/>
    <w:rsid w:val="00B6739D"/>
    <w:rsid w:val="00B7400E"/>
    <w:rsid w:val="00B77A25"/>
    <w:rsid w:val="00B94B2E"/>
    <w:rsid w:val="00BA1E8F"/>
    <w:rsid w:val="00BA7300"/>
    <w:rsid w:val="00BB070A"/>
    <w:rsid w:val="00BB70B0"/>
    <w:rsid w:val="00BD003F"/>
    <w:rsid w:val="00BD201B"/>
    <w:rsid w:val="00BD316F"/>
    <w:rsid w:val="00BE442F"/>
    <w:rsid w:val="00BE586F"/>
    <w:rsid w:val="00BF2D43"/>
    <w:rsid w:val="00C015D4"/>
    <w:rsid w:val="00C048E0"/>
    <w:rsid w:val="00C06467"/>
    <w:rsid w:val="00C10BE1"/>
    <w:rsid w:val="00C1743E"/>
    <w:rsid w:val="00C23185"/>
    <w:rsid w:val="00C24BE3"/>
    <w:rsid w:val="00C556F8"/>
    <w:rsid w:val="00C6296F"/>
    <w:rsid w:val="00C742FC"/>
    <w:rsid w:val="00C77B08"/>
    <w:rsid w:val="00C82940"/>
    <w:rsid w:val="00C84726"/>
    <w:rsid w:val="00C854CC"/>
    <w:rsid w:val="00C86006"/>
    <w:rsid w:val="00C911A0"/>
    <w:rsid w:val="00C92E87"/>
    <w:rsid w:val="00C9793A"/>
    <w:rsid w:val="00CA0F9F"/>
    <w:rsid w:val="00CB0C2A"/>
    <w:rsid w:val="00CC0071"/>
    <w:rsid w:val="00CC45DB"/>
    <w:rsid w:val="00CC6C8C"/>
    <w:rsid w:val="00CD4B85"/>
    <w:rsid w:val="00CE4D68"/>
    <w:rsid w:val="00CE6010"/>
    <w:rsid w:val="00D013F3"/>
    <w:rsid w:val="00D02A95"/>
    <w:rsid w:val="00D071B8"/>
    <w:rsid w:val="00D23699"/>
    <w:rsid w:val="00D24BF5"/>
    <w:rsid w:val="00D5246F"/>
    <w:rsid w:val="00D5467A"/>
    <w:rsid w:val="00D57483"/>
    <w:rsid w:val="00D62A09"/>
    <w:rsid w:val="00D651DC"/>
    <w:rsid w:val="00D70AF6"/>
    <w:rsid w:val="00D71EE1"/>
    <w:rsid w:val="00D73BE0"/>
    <w:rsid w:val="00D80388"/>
    <w:rsid w:val="00D82A5D"/>
    <w:rsid w:val="00DA3D92"/>
    <w:rsid w:val="00DA4118"/>
    <w:rsid w:val="00DA5F5A"/>
    <w:rsid w:val="00DA72C2"/>
    <w:rsid w:val="00DB30EE"/>
    <w:rsid w:val="00DB6124"/>
    <w:rsid w:val="00DC2520"/>
    <w:rsid w:val="00DC3B84"/>
    <w:rsid w:val="00DC7230"/>
    <w:rsid w:val="00DE0E7A"/>
    <w:rsid w:val="00DF0052"/>
    <w:rsid w:val="00E10816"/>
    <w:rsid w:val="00E12020"/>
    <w:rsid w:val="00E14887"/>
    <w:rsid w:val="00E17229"/>
    <w:rsid w:val="00E25653"/>
    <w:rsid w:val="00E262A9"/>
    <w:rsid w:val="00E3495D"/>
    <w:rsid w:val="00E3516A"/>
    <w:rsid w:val="00E42347"/>
    <w:rsid w:val="00E50C5D"/>
    <w:rsid w:val="00E5160D"/>
    <w:rsid w:val="00E60E9E"/>
    <w:rsid w:val="00E632C1"/>
    <w:rsid w:val="00E6511F"/>
    <w:rsid w:val="00E7680C"/>
    <w:rsid w:val="00E776DF"/>
    <w:rsid w:val="00E83A5B"/>
    <w:rsid w:val="00E83B28"/>
    <w:rsid w:val="00E9044C"/>
    <w:rsid w:val="00EA3086"/>
    <w:rsid w:val="00EA68F9"/>
    <w:rsid w:val="00EB1C54"/>
    <w:rsid w:val="00EB43AD"/>
    <w:rsid w:val="00EB7034"/>
    <w:rsid w:val="00EC351C"/>
    <w:rsid w:val="00ED2B09"/>
    <w:rsid w:val="00ED5AB1"/>
    <w:rsid w:val="00ED7793"/>
    <w:rsid w:val="00EE31BC"/>
    <w:rsid w:val="00EF06B3"/>
    <w:rsid w:val="00F03318"/>
    <w:rsid w:val="00F05765"/>
    <w:rsid w:val="00F1050E"/>
    <w:rsid w:val="00F10A4D"/>
    <w:rsid w:val="00F27BA2"/>
    <w:rsid w:val="00F45AE2"/>
    <w:rsid w:val="00F678A4"/>
    <w:rsid w:val="00F773F7"/>
    <w:rsid w:val="00F83FFB"/>
    <w:rsid w:val="00F91903"/>
    <w:rsid w:val="00F925BA"/>
    <w:rsid w:val="00F96E61"/>
    <w:rsid w:val="00FA63CF"/>
    <w:rsid w:val="00FA7775"/>
    <w:rsid w:val="00FB772B"/>
    <w:rsid w:val="00FD6675"/>
    <w:rsid w:val="00FE4A0A"/>
    <w:rsid w:val="00FE7CA7"/>
    <w:rsid w:val="00FF126A"/>
    <w:rsid w:val="00FF2987"/>
    <w:rsid w:val="00FF62EA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26FA7B-E280-4460-A5AE-40A996EF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388"/>
    <w:pPr>
      <w:spacing w:line="240" w:lineRule="auto"/>
      <w:jc w:val="righ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8038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D80388"/>
    <w:rPr>
      <w:rFonts w:ascii="Calibri" w:eastAsia="Calibri" w:hAnsi="Calibri" w:cs="Times New Roman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2,OBC Bullet,List Paragraph11,List Paragraph12,F5 List Paragraph,Colorful List - Accent 11"/>
    <w:basedOn w:val="Normal"/>
    <w:link w:val="ListParagraphChar"/>
    <w:uiPriority w:val="34"/>
    <w:qFormat/>
    <w:rsid w:val="00D80388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2 Char,OBC Bullet Char"/>
    <w:basedOn w:val="DefaultParagraphFont"/>
    <w:link w:val="ListParagraph"/>
    <w:uiPriority w:val="34"/>
    <w:qFormat/>
    <w:locked/>
    <w:rsid w:val="00D80388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130FED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30FED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D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DB7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61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2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22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22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D546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204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204A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C77B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E6FFC-1EE5-4580-8E1B-1D2D027B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Holterman</dc:creator>
  <cp:keywords/>
  <dc:description/>
  <cp:lastModifiedBy>Lesley McWatters</cp:lastModifiedBy>
  <cp:revision>2</cp:revision>
  <cp:lastPrinted>2018-05-11T11:30:00Z</cp:lastPrinted>
  <dcterms:created xsi:type="dcterms:W3CDTF">2019-05-08T08:59:00Z</dcterms:created>
  <dcterms:modified xsi:type="dcterms:W3CDTF">2019-05-08T08:59:00Z</dcterms:modified>
</cp:coreProperties>
</file>