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C219D">
        <w:rPr>
          <w:rFonts w:ascii="Arial" w:hAnsi="Arial" w:cs="Arial"/>
          <w:b/>
          <w:sz w:val="24"/>
          <w:szCs w:val="24"/>
          <w:u w:val="single"/>
        </w:rPr>
        <w:t xml:space="preserve">Finance Committee (FC) Meeting </w:t>
      </w:r>
    </w:p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8F3509" w:rsidRPr="003C219D" w:rsidRDefault="00E53C74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Wednesday 8</w:t>
      </w:r>
      <w:r w:rsidR="00F45AE2" w:rsidRPr="003C219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May 2019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 xml:space="preserve"> at </w:t>
      </w:r>
      <w:r w:rsidR="00551581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:00p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>m</w:t>
      </w:r>
    </w:p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8F3509" w:rsidRPr="003C219D" w:rsidRDefault="0020113A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FINAL</w:t>
      </w:r>
      <w:r w:rsidR="006677C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2331" w:type="dxa"/>
        <w:tblInd w:w="-601" w:type="dxa"/>
        <w:tblLook w:val="00A0" w:firstRow="1" w:lastRow="0" w:firstColumn="1" w:lastColumn="0" w:noHBand="0" w:noVBand="0"/>
      </w:tblPr>
      <w:tblGrid>
        <w:gridCol w:w="12158"/>
        <w:gridCol w:w="222"/>
      </w:tblGrid>
      <w:tr w:rsidR="008F3509" w:rsidRPr="003C219D" w:rsidTr="004377BE">
        <w:tc>
          <w:tcPr>
            <w:tcW w:w="12109" w:type="dxa"/>
          </w:tcPr>
          <w:tbl>
            <w:tblPr>
              <w:tblW w:w="11942" w:type="dxa"/>
              <w:tblLook w:val="00A0" w:firstRow="1" w:lastRow="0" w:firstColumn="1" w:lastColumn="0" w:noHBand="0" w:noVBand="0"/>
            </w:tblPr>
            <w:tblGrid>
              <w:gridCol w:w="3720"/>
              <w:gridCol w:w="8222"/>
            </w:tblGrid>
            <w:tr w:rsidR="008F3509" w:rsidRPr="003C219D" w:rsidTr="00B5447B">
              <w:tc>
                <w:tcPr>
                  <w:tcW w:w="3720" w:type="dxa"/>
                </w:tcPr>
                <w:p w:rsidR="008F3509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Attendees</w:t>
                  </w:r>
                  <w:r w:rsidR="008D369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D369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Dundonald</w:t>
                  </w:r>
                  <w:proofErr w:type="spellEnd"/>
                  <w:r w:rsidR="008D369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House</w:t>
                  </w: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B02B78" w:rsidRDefault="00B02B78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4E8" w:rsidRDefault="00F604E8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4E8" w:rsidRDefault="00F604E8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Pr="003C219D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Attendees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Ballykelly House</w:t>
                  </w:r>
                </w:p>
              </w:tc>
              <w:tc>
                <w:tcPr>
                  <w:tcW w:w="8222" w:type="dxa"/>
                </w:tcPr>
                <w:p w:rsidR="00E53C74" w:rsidRDefault="00E53C74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Brian Doherty (Chair)</w:t>
                  </w:r>
                </w:p>
                <w:p w:rsidR="008D369F" w:rsidRDefault="00F91903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Seamus McErlean</w:t>
                  </w:r>
                </w:p>
                <w:p w:rsidR="0069412B" w:rsidRDefault="0069412B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Norman Fulton</w:t>
                  </w:r>
                </w:p>
                <w:p w:rsidR="00551581" w:rsidRPr="003C219D" w:rsidRDefault="00551581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David Small</w:t>
                  </w:r>
                </w:p>
                <w:p w:rsidR="008D369F" w:rsidRDefault="008D369F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Roger Downey </w:t>
                  </w:r>
                </w:p>
                <w:p w:rsidR="000C51A9" w:rsidRDefault="000C51A9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Declan McCarney</w:t>
                  </w:r>
                </w:p>
                <w:p w:rsidR="00E53C74" w:rsidRDefault="00E53C74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Lynda Lowe</w:t>
                  </w:r>
                </w:p>
                <w:p w:rsidR="00F604E8" w:rsidRDefault="00F604E8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Mark Bryson (Joined at 1:45pm)</w:t>
                  </w:r>
                </w:p>
                <w:p w:rsidR="009A727B" w:rsidRDefault="009A727B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0C51A9" w:rsidRDefault="000C51A9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Fiona McCandless</w:t>
                  </w:r>
                </w:p>
                <w:p w:rsidR="008D369F" w:rsidRDefault="008D369F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David Reid</w:t>
                  </w:r>
                </w:p>
                <w:p w:rsidR="009A727B" w:rsidRPr="003C219D" w:rsidRDefault="009A727B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Robert Huey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   </w:t>
                  </w:r>
                </w:p>
              </w:tc>
            </w:tr>
            <w:tr w:rsidR="008F3509" w:rsidRPr="003C219D" w:rsidTr="00B5447B">
              <w:tc>
                <w:tcPr>
                  <w:tcW w:w="3720" w:type="dxa"/>
                </w:tcPr>
                <w:p w:rsidR="006677C9" w:rsidRPr="003C219D" w:rsidRDefault="006677C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E53C74" w:rsidRPr="003C219D" w:rsidRDefault="00E53C74" w:rsidP="002354B2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Nuala Hennessy (Secretariat)</w:t>
                  </w:r>
                </w:p>
              </w:tc>
            </w:tr>
            <w:tr w:rsidR="008F3509" w:rsidRPr="003C219D" w:rsidTr="00B5447B">
              <w:tc>
                <w:tcPr>
                  <w:tcW w:w="3720" w:type="dxa"/>
                </w:tcPr>
                <w:p w:rsidR="008F3509" w:rsidRPr="003C219D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8F3509" w:rsidRPr="003C219D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B5447B">
              <w:tc>
                <w:tcPr>
                  <w:tcW w:w="3720" w:type="dxa"/>
                </w:tcPr>
                <w:p w:rsidR="008F3509" w:rsidRPr="003C219D" w:rsidRDefault="006677C9" w:rsidP="00F604E8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Apologies</w:t>
                  </w:r>
                </w:p>
              </w:tc>
              <w:tc>
                <w:tcPr>
                  <w:tcW w:w="8222" w:type="dxa"/>
                </w:tcPr>
                <w:p w:rsidR="008F3509" w:rsidRPr="003C219D" w:rsidRDefault="006677C9" w:rsidP="00F604E8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Sean McGrade</w:t>
                  </w:r>
                </w:p>
              </w:tc>
            </w:tr>
            <w:tr w:rsidR="008F3509" w:rsidRPr="003C219D" w:rsidTr="00B5447B">
              <w:tc>
                <w:tcPr>
                  <w:tcW w:w="3720" w:type="dxa"/>
                </w:tcPr>
                <w:p w:rsidR="008F3509" w:rsidRPr="003C219D" w:rsidRDefault="008F3509" w:rsidP="008F3509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8F3509" w:rsidRPr="003C219D" w:rsidRDefault="008F3509" w:rsidP="008F3509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3509" w:rsidRPr="003C219D" w:rsidRDefault="008F3509" w:rsidP="008F350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8F3509" w:rsidRPr="003C219D" w:rsidRDefault="008F3509" w:rsidP="008F350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3509" w:rsidRPr="003C219D" w:rsidTr="004377BE">
        <w:tc>
          <w:tcPr>
            <w:tcW w:w="12109" w:type="dxa"/>
          </w:tcPr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0"/>
              <w:gridCol w:w="7796"/>
              <w:gridCol w:w="1701"/>
            </w:tblGrid>
            <w:tr w:rsidR="008F3509" w:rsidRPr="003C219D" w:rsidTr="00643674">
              <w:trPr>
                <w:cantSplit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ind w:right="-108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tabs>
                      <w:tab w:val="center" w:pos="4513"/>
                      <w:tab w:val="right" w:pos="9026"/>
                    </w:tabs>
                    <w:spacing w:after="0"/>
                    <w:ind w:right="-108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Paper Reference /  Action Owner</w:t>
                  </w:r>
                </w:p>
              </w:tc>
            </w:tr>
            <w:tr w:rsidR="008F3509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numPr>
                      <w:ilvl w:val="0"/>
                      <w:numId w:val="1"/>
                    </w:numPr>
                    <w:spacing w:after="0"/>
                    <w:ind w:left="0" w:right="-108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E53C74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Welcome and</w:t>
                  </w:r>
                </w:p>
                <w:p w:rsidR="008F3509" w:rsidRPr="003C219D" w:rsidRDefault="008F3509" w:rsidP="002354B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Minutes</w:t>
                  </w:r>
                  <w:r w:rsidR="002354B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and Action Points</w:t>
                  </w: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354B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from</w:t>
                  </w: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Previous Meeting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Pr="003C219D" w:rsidRDefault="00E53C74" w:rsidP="00B02B78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FC 11/19</w:t>
                  </w:r>
                </w:p>
              </w:tc>
            </w:tr>
            <w:tr w:rsidR="008F3509" w:rsidRPr="003C219D" w:rsidTr="00643674">
              <w:trPr>
                <w:trHeight w:val="1300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Chair welcomed members to the meeting.</w:t>
                  </w: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C06467" w:rsidRDefault="00764F96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It was noted that there were no minutes </w:t>
                  </w:r>
                  <w:r w:rsidR="006677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from the previous meeting as papers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had been agreed by correspondence. </w:t>
                  </w:r>
                </w:p>
                <w:p w:rsidR="00B02B78" w:rsidRDefault="00B02B78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02B78" w:rsidRDefault="00E53C74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Declan McCarney</w:t>
                  </w:r>
                  <w:r w:rsidR="00B02B7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confirmed that the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re were no</w:t>
                  </w:r>
                  <w:r w:rsidR="00B02B7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action point</w:t>
                  </w:r>
                  <w:r w:rsidR="00764F9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s outstanding. </w:t>
                  </w:r>
                </w:p>
                <w:p w:rsidR="00B02B78" w:rsidRPr="003C219D" w:rsidRDefault="00B02B78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numPr>
                      <w:ilvl w:val="0"/>
                      <w:numId w:val="1"/>
                    </w:numPr>
                    <w:spacing w:after="0"/>
                    <w:ind w:left="0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EA418F" w:rsidRDefault="00E53C74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2018/19 Provisional Outturn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E53C74" w:rsidP="009A727B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12/19</w:t>
                  </w:r>
                </w:p>
              </w:tc>
            </w:tr>
            <w:tr w:rsidR="008F3509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E61" w:rsidRPr="003C219D" w:rsidRDefault="00F96E61" w:rsidP="00360F08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53C74" w:rsidRDefault="0002618A" w:rsidP="001D6A83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Declan McCarney presented the paper and 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informed the FC that the De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partment’s Resource PO was 99.89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%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, the Capital PO was 99.92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%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and 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refore the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Department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had 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achieved the business plan target of a Resource and Capital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PO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of between 99% and 100%.</w:t>
                  </w:r>
                </w:p>
                <w:p w:rsidR="001D6A83" w:rsidRDefault="001D6A83" w:rsidP="001D6A83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2618A" w:rsidRPr="003C219D" w:rsidRDefault="0002618A" w:rsidP="0002618A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David Reid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congratulated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Declan McCarney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and the Financial Planning Branch team on the fantastic result and the achievement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of the business plan target. He also recognised the contribution of the work car</w:t>
                  </w:r>
                  <w:r w:rsidR="00764F96">
                    <w:rPr>
                      <w:rFonts w:ascii="Arial" w:hAnsi="Arial" w:cs="Arial"/>
                      <w:bCs/>
                      <w:sz w:val="24"/>
                      <w:szCs w:val="24"/>
                    </w:rPr>
                    <w:t>ried out by the Finance Teams within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Business Areas</w:t>
                  </w:r>
                </w:p>
                <w:p w:rsidR="0002618A" w:rsidRPr="003C219D" w:rsidRDefault="0002618A" w:rsidP="0002618A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606CDA" w:rsidRDefault="0002618A" w:rsidP="001D6A8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sz w:val="24"/>
                      <w:szCs w:val="24"/>
                    </w:rPr>
                    <w:t>The FC noted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the contents of the paper.</w:t>
                  </w:r>
                </w:p>
                <w:p w:rsidR="001D130F" w:rsidRPr="001D130F" w:rsidRDefault="001D130F" w:rsidP="001D6A8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316F8D" w:rsidRDefault="00316F8D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F3509" w:rsidRPr="00E3516A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02B78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Pr="003C219D" w:rsidRDefault="00B02B78" w:rsidP="00EA418F">
                  <w:pPr>
                    <w:numPr>
                      <w:ilvl w:val="0"/>
                      <w:numId w:val="1"/>
                    </w:numPr>
                    <w:spacing w:after="0"/>
                    <w:ind w:left="0" w:right="-108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Pr="00B02B78" w:rsidRDefault="001D6A83" w:rsidP="00360F08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June Monitoring Round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Pr="00B02B78" w:rsidRDefault="001D6A83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13/19</w:t>
                  </w:r>
                </w:p>
              </w:tc>
            </w:tr>
            <w:tr w:rsidR="00B02B78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Pr="003C219D" w:rsidRDefault="00B02B78" w:rsidP="00EA418F">
                  <w:pPr>
                    <w:spacing w:after="0"/>
                    <w:ind w:righ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A83" w:rsidRDefault="001D6A83" w:rsidP="001D6A83">
                  <w:p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Declan McCarney presented the paper and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discussed the Resource and Capital proposals in this exercise.  The FC noted the contents of the paper and agreed that the Resource and Capital proposals should be actioned.  </w:t>
                  </w:r>
                </w:p>
                <w:p w:rsidR="001D6A83" w:rsidRDefault="000F62AE" w:rsidP="001D6A83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It was noted that this was the highest Capital allocation that </w:t>
                  </w:r>
                  <w:r w:rsidR="0064367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Department had ever received and that it could be challenging to spend out.  It was </w:t>
                  </w:r>
                  <w:r w:rsidR="001D6A8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agreed </w:t>
                  </w:r>
                  <w:r w:rsidR="00154E5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by</w:t>
                  </w:r>
                  <w:r w:rsidR="001D6A8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all </w:t>
                  </w:r>
                  <w:r w:rsidR="00154E5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that </w:t>
                  </w:r>
                  <w:r w:rsidR="001D6A8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Declan McCarney should </w:t>
                  </w:r>
                  <w:r w:rsidR="00CD1A1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commission a</w:t>
                  </w:r>
                  <w:r w:rsidR="001D6A8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short exercise seeking details of any further capital projects that could be actioned in 2019/20.   </w:t>
                  </w:r>
                </w:p>
                <w:p w:rsidR="000F62AE" w:rsidRDefault="000F62AE" w:rsidP="001D6A83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1D6A83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0F62AE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Action Point</w:t>
                  </w:r>
                </w:p>
                <w:p w:rsidR="000F62AE" w:rsidRDefault="000F62AE" w:rsidP="001D6A83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:rsidR="000F62AE" w:rsidRPr="000F62AE" w:rsidRDefault="000F62AE" w:rsidP="001D6A83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F62A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Short exercise to be commissioned seeking details of any further capital projects that could be actioned in 2019/20.</w:t>
                  </w:r>
                </w:p>
                <w:p w:rsidR="00CC7EF6" w:rsidRPr="003C219D" w:rsidRDefault="00CC7EF6" w:rsidP="00CC7EF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Default="00B02B78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P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F62A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Declan McCarney</w:t>
                  </w:r>
                </w:p>
              </w:tc>
            </w:tr>
            <w:tr w:rsidR="008F3509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EA418F" w:rsidP="00EA41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0F62AE" w:rsidP="00EA41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TB Envelope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0F62AE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14/19</w:t>
                  </w:r>
                </w:p>
              </w:tc>
            </w:tr>
            <w:tr w:rsidR="00643674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674" w:rsidRDefault="00643674" w:rsidP="00EA41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674" w:rsidRDefault="00643674" w:rsidP="0064367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Declan McCarney presented the paper on the feasibility of setting a ring-fenced budget for Bovine Tuberculosis (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bTB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). The risks and issues in relation to managing the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bTB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costs within a defined budget in 2019/20 were discussed. It was accepted that it would not be possible for 2019/20 but that in principle work should commence in this year in order to potentially support such a position in future years subject to the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outworkings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of the business case currently being prepared. </w:t>
                  </w:r>
                </w:p>
                <w:p w:rsidR="00643674" w:rsidRDefault="00643674" w:rsidP="0064367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643674" w:rsidRDefault="00643674" w:rsidP="0064367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It was also recognised that managing a ring fenced budget would require changes in policy and would therefore require ministerial approval. </w:t>
                  </w:r>
                </w:p>
                <w:p w:rsidR="00643674" w:rsidRDefault="00643674" w:rsidP="0064367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643674" w:rsidRDefault="00643674" w:rsidP="00643674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356F11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Action Point</w:t>
                  </w:r>
                </w:p>
                <w:p w:rsidR="00643674" w:rsidRDefault="00643674" w:rsidP="00643674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:rsidR="00643674" w:rsidRPr="00152911" w:rsidRDefault="00643674" w:rsidP="00643674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5291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Finance to work alongside VSAHG to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potentially </w:t>
                  </w:r>
                  <w:r w:rsidRPr="0015291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establish a ring-fenced </w:t>
                  </w:r>
                  <w:proofErr w:type="spellStart"/>
                  <w:r w:rsidRPr="0015291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bTB</w:t>
                  </w:r>
                  <w:proofErr w:type="spellEnd"/>
                  <w:r w:rsidRPr="0015291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budget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in 2020/21</w:t>
                  </w:r>
                  <w:r w:rsidRPr="0015291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  <w:p w:rsidR="00643674" w:rsidRPr="00152911" w:rsidRDefault="00643674" w:rsidP="00643674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643674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5291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Provide Denis McMahon with an update on the position of a ring-fenced </w:t>
                  </w:r>
                  <w:proofErr w:type="spellStart"/>
                  <w:r w:rsidRPr="0015291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bTB</w:t>
                  </w:r>
                  <w:proofErr w:type="spellEnd"/>
                  <w:r w:rsidRPr="0015291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budget.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643674" w:rsidRDefault="00643674" w:rsidP="00EA41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643674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Financial Planning Branch</w:t>
                  </w:r>
                </w:p>
                <w:p w:rsidR="00643674" w:rsidRDefault="00643674" w:rsidP="00643674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64367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David Reid</w:t>
                  </w:r>
                </w:p>
              </w:tc>
            </w:tr>
            <w:tr w:rsidR="008F3509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EA418F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</w:t>
                  </w:r>
                  <w:r w:rsidR="008F3509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E44216" w:rsidRDefault="00356F11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Aged Debt Report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356F11" w:rsidP="002141C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15/19</w:t>
                  </w:r>
                </w:p>
              </w:tc>
            </w:tr>
            <w:tr w:rsidR="008F3509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1440" w:rsidRDefault="00511440" w:rsidP="00F96E61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F15E2" w:rsidRDefault="00356F11" w:rsidP="00F96E61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Lynda Lowe</w:t>
                  </w:r>
                  <w:r w:rsidR="00E4421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511440">
                    <w:rPr>
                      <w:rFonts w:ascii="Arial" w:hAnsi="Arial" w:cs="Arial"/>
                      <w:sz w:val="24"/>
                      <w:szCs w:val="24"/>
                    </w:rPr>
                    <w:t xml:space="preserve">presented the paper </w:t>
                  </w:r>
                  <w:r w:rsidR="00E44216">
                    <w:rPr>
                      <w:rFonts w:ascii="Arial" w:hAnsi="Arial" w:cs="Arial"/>
                      <w:sz w:val="24"/>
                      <w:szCs w:val="24"/>
                    </w:rPr>
                    <w:t xml:space="preserve">and the FC discussed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the overall debt position of the </w:t>
                  </w:r>
                  <w:r w:rsidR="006F15E2">
                    <w:rPr>
                      <w:rFonts w:ascii="Arial" w:hAnsi="Arial" w:cs="Arial"/>
                      <w:sz w:val="24"/>
                      <w:szCs w:val="24"/>
                    </w:rPr>
                    <w:t>Department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. It was noted that whilst the Department has an obligation to make efforts to recover all debts consideration must be given to cases where the </w:t>
                  </w:r>
                  <w:r w:rsidR="00606CDA">
                    <w:rPr>
                      <w:rFonts w:ascii="Arial" w:hAnsi="Arial" w:cs="Arial"/>
                      <w:sz w:val="24"/>
                      <w:szCs w:val="24"/>
                    </w:rPr>
                    <w:t>profile of the debt is s</w:t>
                  </w:r>
                  <w:r w:rsidR="006F15E2">
                    <w:rPr>
                      <w:rFonts w:ascii="Arial" w:hAnsi="Arial" w:cs="Arial"/>
                      <w:sz w:val="24"/>
                      <w:szCs w:val="24"/>
                    </w:rPr>
                    <w:t>o aged that costs of recovery would exceed the actual value of the debt.</w:t>
                  </w:r>
                </w:p>
                <w:p w:rsidR="00F05765" w:rsidRDefault="00356F11" w:rsidP="00F96E61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9874A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491DBF" w:rsidRDefault="00511440" w:rsidP="006F15E2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FC noted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contents of the paper</w:t>
                  </w:r>
                  <w:r w:rsidR="006F15E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6F15E2" w:rsidRDefault="006F15E2" w:rsidP="006F15E2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6F15E2" w:rsidRDefault="006F15E2" w:rsidP="006F15E2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F15E2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Action Point</w:t>
                  </w:r>
                </w:p>
                <w:p w:rsidR="00606CDA" w:rsidRDefault="00606CDA" w:rsidP="006F15E2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:rsidR="006F15E2" w:rsidRPr="003C219D" w:rsidRDefault="001A2151" w:rsidP="00152911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A21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Financial Policy Branch will produce a report to show trends of bad debt for 2018/19 against 2017/18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22E9" w:rsidRDefault="004722E9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1A0B5F" w:rsidRDefault="001A0B5F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1A0B5F" w:rsidRDefault="001A0B5F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1A0B5F" w:rsidRDefault="001A0B5F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1A0B5F" w:rsidRDefault="001A0B5F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1A0B5F" w:rsidRDefault="001A0B5F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1A0B5F" w:rsidRDefault="001A0B5F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06CDA" w:rsidRDefault="00606CDA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1A0B5F" w:rsidRDefault="001A0B5F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Lynda Lowe</w:t>
                  </w: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A4623A" w:rsidRPr="003C219D" w:rsidRDefault="00A4623A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6A3CB4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6</w:t>
                  </w:r>
                  <w:r w:rsidR="008F3509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1A0B5F" w:rsidP="008F3509">
                  <w:pPr>
                    <w:keepNext/>
                    <w:spacing w:after="0"/>
                    <w:jc w:val="left"/>
                    <w:outlineLvl w:val="1"/>
                    <w:rPr>
                      <w:rFonts w:ascii="Arial" w:eastAsia="Times New Roman" w:hAnsi="Arial" w:cs="Arial"/>
                      <w:b/>
                      <w:bCs/>
                      <w:i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Cs/>
                      <w:sz w:val="24"/>
                      <w:szCs w:val="24"/>
                      <w:lang w:eastAsia="en-GB"/>
                    </w:rPr>
                    <w:t>Post Project Evaluations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1A0B5F" w:rsidP="006A3CB4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16/19</w:t>
                  </w:r>
                </w:p>
              </w:tc>
            </w:tr>
            <w:tr w:rsidR="008F3509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1185A" w:rsidRDefault="001A0B5F" w:rsidP="001A0B5F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Lynda Lowe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presented the paper and the FC discussed the position. It was noted that there were a number of contract</w:t>
                  </w:r>
                  <w:r w:rsidR="00643674">
                    <w:rPr>
                      <w:rFonts w:ascii="Arial" w:hAnsi="Arial" w:cs="Arial"/>
                      <w:sz w:val="24"/>
                      <w:szCs w:val="24"/>
                    </w:rPr>
                    <w:t>s of significant value with PPE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s still outstanding</w:t>
                  </w:r>
                  <w:r w:rsidR="00606CDA">
                    <w:rPr>
                      <w:rFonts w:ascii="Arial" w:hAnsi="Arial" w:cs="Arial"/>
                      <w:sz w:val="24"/>
                      <w:szCs w:val="24"/>
                    </w:rPr>
                    <w:t xml:space="preserve"> and that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this was not acceptable. There was </w:t>
                  </w:r>
                  <w:r w:rsidR="00643674">
                    <w:rPr>
                      <w:rFonts w:ascii="Arial" w:hAnsi="Arial" w:cs="Arial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discussion around mechanism</w:t>
                  </w:r>
                  <w:r w:rsidR="00606CDA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available to ensure compliance with the requirements to complete </w:t>
                  </w:r>
                  <w:r w:rsidR="0011185A">
                    <w:rPr>
                      <w:rFonts w:ascii="Arial" w:hAnsi="Arial" w:cs="Arial"/>
                      <w:sz w:val="24"/>
                      <w:szCs w:val="24"/>
                    </w:rPr>
                    <w:t xml:space="preserve">PPEs including the claw back of grants. </w:t>
                  </w:r>
                </w:p>
                <w:p w:rsidR="0011185A" w:rsidRDefault="0011185A" w:rsidP="001A0B5F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A0B5F" w:rsidRPr="0011185A" w:rsidRDefault="0011185A" w:rsidP="001A0B5F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FC noted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contents of the paper. </w:t>
                  </w:r>
                </w:p>
                <w:p w:rsidR="00662D63" w:rsidRDefault="00662D63" w:rsidP="00662D63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  <w:p w:rsidR="00445581" w:rsidRPr="0011185A" w:rsidRDefault="00445581" w:rsidP="00445581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1185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Action Points</w:t>
                  </w:r>
                </w:p>
                <w:p w:rsidR="0011185A" w:rsidRPr="00A401E5" w:rsidRDefault="0011185A" w:rsidP="00445581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A401E5" w:rsidRDefault="0011185A" w:rsidP="0011185A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Financial Policy Branch to provide a further update to ARAC. </w:t>
                  </w:r>
                </w:p>
                <w:p w:rsidR="0011185A" w:rsidRPr="003C219D" w:rsidRDefault="0011185A" w:rsidP="0011185A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45581" w:rsidRDefault="00445581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45581" w:rsidRDefault="00445581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A401E5" w:rsidRDefault="00A401E5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11185A" w:rsidRDefault="0011185A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11185A" w:rsidRDefault="0011185A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11185A" w:rsidRDefault="0011185A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3D4B26" w:rsidRDefault="003D4B26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3D4B26" w:rsidRDefault="003D4B26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445581" w:rsidRPr="003C219D" w:rsidRDefault="0011185A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Lynda Lowe</w:t>
                  </w:r>
                </w:p>
              </w:tc>
            </w:tr>
            <w:tr w:rsidR="008F3509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491DBF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</w:t>
                  </w:r>
                  <w:r w:rsidR="008F3509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491DBF" w:rsidRDefault="0011185A" w:rsidP="00491DB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Contract Compliance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11185A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17/19</w:t>
                  </w:r>
                </w:p>
              </w:tc>
            </w:tr>
            <w:tr w:rsidR="008F3509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91DBF" w:rsidRPr="0011185A" w:rsidRDefault="0011185A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Lynda Lowe presented the paper and informed the FC that compliance in terms of </w:t>
                  </w:r>
                  <w:r w:rsidRPr="0011185A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value of POs was 98.27% in March 2019 which is above the Compliance target of 98% published by Account NI. The number of Compliant POs in March 2019 was 98.03%. </w:t>
                  </w:r>
                </w:p>
                <w:p w:rsidR="00B2294D" w:rsidRDefault="00B2294D" w:rsidP="00491DBF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1185A" w:rsidRDefault="0011185A" w:rsidP="00491DBF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sz w:val="24"/>
                      <w:szCs w:val="24"/>
                    </w:rPr>
                    <w:t>The FC noted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the contents of the paper.</w:t>
                  </w:r>
                </w:p>
                <w:p w:rsidR="0011185A" w:rsidRPr="003C219D" w:rsidRDefault="0011185A" w:rsidP="00491DBF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91DBF" w:rsidRDefault="00491DBF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9767D" w:rsidRDefault="00E9767D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91DBF" w:rsidRPr="003C219D" w:rsidRDefault="00491DBF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047092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092" w:rsidRPr="003C219D" w:rsidRDefault="00A401E5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8</w:t>
                  </w:r>
                  <w:r w:rsidR="00047092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092" w:rsidRPr="003C219D" w:rsidRDefault="0011185A" w:rsidP="00047092">
                  <w:pPr>
                    <w:keepNext/>
                    <w:spacing w:after="0"/>
                    <w:jc w:val="left"/>
                    <w:outlineLvl w:val="1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Direct Award Contracts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092" w:rsidRPr="0011185A" w:rsidRDefault="0011185A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1185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18/19</w:t>
                  </w:r>
                </w:p>
              </w:tc>
            </w:tr>
            <w:tr w:rsidR="00047092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092" w:rsidRPr="003C219D" w:rsidRDefault="00047092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5765" w:rsidRDefault="00F05765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A69DB" w:rsidRDefault="003D4B26" w:rsidP="003D4B2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Lynda Lowe presented the paper and informed the FC</w:t>
                  </w:r>
                  <w:r w:rsidR="004A69D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that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new guidance had been issued to Business</w:t>
                  </w:r>
                  <w:r w:rsidR="004A69D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Areas in November. Lynda Lowe confirmed that her Branch was there to support business areas and that early engagement is recommended. </w:t>
                  </w:r>
                </w:p>
                <w:p w:rsidR="004A69DB" w:rsidRDefault="004A69DB" w:rsidP="003D4B2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3D4B26" w:rsidRPr="0011185A" w:rsidRDefault="004A69DB" w:rsidP="00152911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sz w:val="24"/>
                      <w:szCs w:val="24"/>
                    </w:rPr>
                    <w:t>The FC noted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the contents of the paper.</w:t>
                  </w:r>
                </w:p>
                <w:p w:rsidR="00F05765" w:rsidRPr="003C219D" w:rsidRDefault="00F05765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092" w:rsidRPr="003C219D" w:rsidRDefault="00047092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4A69DB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Pr="003C219D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Pr="004A69DB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A69D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Prompt Payment Statistics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Pr="004A69DB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A69D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19/19</w:t>
                  </w:r>
                </w:p>
              </w:tc>
            </w:tr>
            <w:tr w:rsidR="004A69DB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Pr="003C219D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A69DB" w:rsidRDefault="004A69DB" w:rsidP="004A69D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Mark Bryson presented the paper and informed the FC that 92.16% of all invoices were paid within the 10 day target against the NICS target performance target of 92%. </w:t>
                  </w:r>
                  <w:r w:rsidR="009F731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It was noted that some of the comparison statistics are skewed due to the changing structure of the Department in 2018/19. </w:t>
                  </w:r>
                  <w:r w:rsidR="009F731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Mark also confirmed that Financial Systems Branch is happy to work directly with Branch</w:t>
                  </w:r>
                  <w:r w:rsidR="009F731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es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to improve performance. </w:t>
                  </w:r>
                </w:p>
                <w:p w:rsidR="004A69DB" w:rsidRDefault="004A69DB" w:rsidP="004A69D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A69DB" w:rsidRDefault="004A69DB" w:rsidP="004A69D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FC noted the contents of the paper.</w:t>
                  </w:r>
                </w:p>
                <w:p w:rsidR="00152911" w:rsidRDefault="00152911" w:rsidP="004A69D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A69DB" w:rsidRDefault="004A69DB" w:rsidP="004A69DB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A69DB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Action Point</w:t>
                  </w:r>
                </w:p>
                <w:p w:rsidR="004A69DB" w:rsidRDefault="004A69DB" w:rsidP="004A69DB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:rsidR="004A69DB" w:rsidRPr="00152911" w:rsidRDefault="004A69DB" w:rsidP="004A69DB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5291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An article </w:t>
                  </w:r>
                  <w:r w:rsidR="0015291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is </w:t>
                  </w:r>
                  <w:r w:rsidRPr="0015291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to be included in the Team Brief to highlight the importance of Prompt Payment within the Department</w:t>
                  </w:r>
                  <w:r w:rsidR="009F731B" w:rsidRPr="0015291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9F731B" w:rsidRPr="00152911" w:rsidRDefault="009F731B" w:rsidP="004A69DB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9F731B" w:rsidRPr="00E55DD7" w:rsidRDefault="009F731B" w:rsidP="004A69DB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55DD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Additional </w:t>
                  </w:r>
                  <w:r w:rsidR="00152911" w:rsidRPr="00E55DD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analysis of the figures was requested, mainly in relation to number and value of invoices that failed to meet the 10 day target.</w:t>
                  </w:r>
                </w:p>
                <w:p w:rsidR="002A0D79" w:rsidRPr="004A69DB" w:rsidRDefault="002A0D79" w:rsidP="004A69DB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A69DB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A69DB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A69DB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A69DB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A69DB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A69DB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A69DB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A69DB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A0D7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Mark Bryson</w:t>
                  </w:r>
                </w:p>
                <w:p w:rsidR="00152911" w:rsidRDefault="00152911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152911" w:rsidRDefault="00152911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152911" w:rsidRPr="002A0D79" w:rsidRDefault="00152911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55DD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Mark Bryson</w:t>
                  </w:r>
                </w:p>
              </w:tc>
            </w:tr>
            <w:tr w:rsidR="004A69DB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Pr="003C219D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P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A0D7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Travel Section Statistics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P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A0D7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20/19</w:t>
                  </w:r>
                </w:p>
              </w:tc>
            </w:tr>
            <w:tr w:rsidR="004A69DB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Pr="003C219D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FC noted the contents of the paper.</w:t>
                  </w:r>
                </w:p>
                <w:p w:rsid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Pr="003C219D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4A69DB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Pr="003C219D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P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A0D7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AOB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Pr="003C219D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2A0D79" w:rsidRPr="003C219D" w:rsidTr="00643674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D79" w:rsidRP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2A0D79" w:rsidRP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2A0D7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Roger Downey informed the FC that a Budget Exercise was going to be commissioned</w:t>
                  </w:r>
                  <w:r w:rsidR="0064367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shortly</w:t>
                  </w:r>
                  <w:r w:rsidRPr="002A0D7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looking at 3 years Resource and Capital. Estate Transformation Capital would be </w:t>
                  </w:r>
                  <w:r w:rsidR="0064367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sought to inform projected </w:t>
                  </w:r>
                  <w:r w:rsidR="00113DA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profits</w:t>
                  </w:r>
                  <w:r w:rsidR="0064367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over</w:t>
                  </w:r>
                  <w:r w:rsidRPr="002A0D7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 10 year period. </w:t>
                  </w:r>
                </w:p>
                <w:p w:rsidR="002A0D79" w:rsidRP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D79" w:rsidRPr="003C219D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3509" w:rsidRPr="003C219D" w:rsidRDefault="008F3509" w:rsidP="008F350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8F3509" w:rsidRPr="003C219D" w:rsidRDefault="008F3509" w:rsidP="008F350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1903F1" w:rsidRPr="003C219D" w:rsidRDefault="001903F1" w:rsidP="00B2294D">
      <w:pPr>
        <w:jc w:val="both"/>
        <w:rPr>
          <w:rFonts w:ascii="Arial" w:hAnsi="Arial" w:cs="Arial"/>
          <w:sz w:val="24"/>
          <w:szCs w:val="24"/>
        </w:rPr>
      </w:pPr>
    </w:p>
    <w:sectPr w:rsidR="001903F1" w:rsidRPr="003C219D" w:rsidSect="00322BE1">
      <w:headerReference w:type="default" r:id="rId8"/>
      <w:footerReference w:type="default" r:id="rId9"/>
      <w:headerReference w:type="first" r:id="rId10"/>
      <w:pgSz w:w="11906" w:h="16838" w:code="9"/>
      <w:pgMar w:top="1134" w:right="1440" w:bottom="567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A67" w:rsidRDefault="00C84A67" w:rsidP="007963B1">
      <w:pPr>
        <w:spacing w:after="0"/>
      </w:pPr>
      <w:r>
        <w:separator/>
      </w:r>
    </w:p>
  </w:endnote>
  <w:endnote w:type="continuationSeparator" w:id="0">
    <w:p w:rsidR="00C84A67" w:rsidRDefault="00C84A67" w:rsidP="007963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6615"/>
      <w:docPartObj>
        <w:docPartGallery w:val="Page Numbers (Bottom of Page)"/>
        <w:docPartUnique/>
      </w:docPartObj>
    </w:sdtPr>
    <w:sdtEndPr/>
    <w:sdtContent>
      <w:p w:rsidR="00F27BA2" w:rsidRDefault="00F27BA2">
        <w:pPr>
          <w:pStyle w:val="Footer"/>
          <w:jc w:val="center"/>
        </w:pPr>
      </w:p>
      <w:p w:rsidR="00F27BA2" w:rsidRDefault="00864016">
        <w:pPr>
          <w:pStyle w:val="Footer"/>
          <w:jc w:val="center"/>
        </w:pPr>
        <w:r w:rsidRPr="00BD33C7">
          <w:rPr>
            <w:rFonts w:ascii="Arial" w:hAnsi="Arial" w:cs="Arial"/>
            <w:sz w:val="24"/>
            <w:szCs w:val="24"/>
          </w:rPr>
          <w:fldChar w:fldCharType="begin"/>
        </w:r>
        <w:r w:rsidR="00F27BA2" w:rsidRPr="00BD33C7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BD33C7">
          <w:rPr>
            <w:rFonts w:ascii="Arial" w:hAnsi="Arial" w:cs="Arial"/>
            <w:sz w:val="24"/>
            <w:szCs w:val="24"/>
          </w:rPr>
          <w:fldChar w:fldCharType="separate"/>
        </w:r>
        <w:r w:rsidR="0069412B">
          <w:rPr>
            <w:rFonts w:ascii="Arial" w:hAnsi="Arial" w:cs="Arial"/>
            <w:noProof/>
            <w:sz w:val="24"/>
            <w:szCs w:val="24"/>
          </w:rPr>
          <w:t>2</w:t>
        </w:r>
        <w:r w:rsidRPr="00BD33C7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F27BA2" w:rsidRDefault="00F27BA2" w:rsidP="00BB70B0">
    <w:pPr>
      <w:pStyle w:val="Footer"/>
      <w:ind w:right="70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A67" w:rsidRDefault="00C84A67" w:rsidP="007963B1">
      <w:pPr>
        <w:spacing w:after="0"/>
      </w:pPr>
      <w:r>
        <w:separator/>
      </w:r>
    </w:p>
  </w:footnote>
  <w:footnote w:type="continuationSeparator" w:id="0">
    <w:p w:rsidR="00C84A67" w:rsidRDefault="00C84A67" w:rsidP="007963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BE1" w:rsidRPr="00B5447B" w:rsidRDefault="000758E4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</w:t>
    </w:r>
    <w:r w:rsidR="00322BE1" w:rsidRPr="00B5447B">
      <w:rPr>
        <w:rFonts w:ascii="Arial" w:hAnsi="Arial" w:cs="Arial"/>
        <w:b/>
        <w:sz w:val="24"/>
        <w:szCs w:val="24"/>
      </w:rPr>
      <w:t xml:space="preserve">C </w:t>
    </w:r>
    <w:r w:rsidR="00082EBE">
      <w:rPr>
        <w:rFonts w:ascii="Arial" w:hAnsi="Arial" w:cs="Arial"/>
        <w:b/>
        <w:sz w:val="24"/>
        <w:szCs w:val="24"/>
      </w:rPr>
      <w:t>21</w:t>
    </w:r>
    <w:r w:rsidR="00322BE1" w:rsidRPr="00B5447B">
      <w:rPr>
        <w:rFonts w:ascii="Arial" w:hAnsi="Arial" w:cs="Arial"/>
        <w:b/>
        <w:sz w:val="24"/>
        <w:szCs w:val="24"/>
      </w:rPr>
      <w:t>/</w:t>
    </w:r>
    <w:r w:rsidR="001E340B">
      <w:rPr>
        <w:rFonts w:ascii="Arial" w:hAnsi="Arial" w:cs="Arial"/>
        <w:b/>
        <w:sz w:val="24"/>
        <w:szCs w:val="24"/>
      </w:rPr>
      <w:t>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803" w:rsidRPr="002B3803" w:rsidRDefault="002B3803">
    <w:pPr>
      <w:pStyle w:val="Header"/>
      <w:rPr>
        <w:b/>
      </w:rPr>
    </w:pPr>
    <w:r w:rsidRPr="002B3803">
      <w:rPr>
        <w:b/>
      </w:rPr>
      <w:t>FSC 07/18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306"/>
    <w:multiLevelType w:val="hybridMultilevel"/>
    <w:tmpl w:val="1ADE1FA8"/>
    <w:lvl w:ilvl="0" w:tplc="93D499DC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AE5"/>
    <w:multiLevelType w:val="hybridMultilevel"/>
    <w:tmpl w:val="E4369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7DE1"/>
    <w:multiLevelType w:val="hybridMultilevel"/>
    <w:tmpl w:val="F8464AB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DD326E"/>
    <w:multiLevelType w:val="hybridMultilevel"/>
    <w:tmpl w:val="D228D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357D"/>
    <w:multiLevelType w:val="hybridMultilevel"/>
    <w:tmpl w:val="7918F3F4"/>
    <w:lvl w:ilvl="0" w:tplc="08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5" w15:restartNumberingAfterBreak="0">
    <w:nsid w:val="0C695583"/>
    <w:multiLevelType w:val="hybridMultilevel"/>
    <w:tmpl w:val="6F1E5AB0"/>
    <w:lvl w:ilvl="0" w:tplc="08090017">
      <w:start w:val="1"/>
      <w:numFmt w:val="lowerLetter"/>
      <w:lvlText w:val="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3862D77"/>
    <w:multiLevelType w:val="hybridMultilevel"/>
    <w:tmpl w:val="200C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5157F"/>
    <w:multiLevelType w:val="hybridMultilevel"/>
    <w:tmpl w:val="D3166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146C3"/>
    <w:multiLevelType w:val="hybridMultilevel"/>
    <w:tmpl w:val="C8FAAB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C5354B"/>
    <w:multiLevelType w:val="hybridMultilevel"/>
    <w:tmpl w:val="587ABA5C"/>
    <w:lvl w:ilvl="0" w:tplc="FE42B88A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A2939"/>
    <w:multiLevelType w:val="hybridMultilevel"/>
    <w:tmpl w:val="63DC4D1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1E7B1516"/>
    <w:multiLevelType w:val="hybridMultilevel"/>
    <w:tmpl w:val="4A505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140BC"/>
    <w:multiLevelType w:val="hybridMultilevel"/>
    <w:tmpl w:val="CD18CC28"/>
    <w:lvl w:ilvl="0" w:tplc="BC3494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06772"/>
    <w:multiLevelType w:val="hybridMultilevel"/>
    <w:tmpl w:val="2E283DC2"/>
    <w:lvl w:ilvl="0" w:tplc="080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A56E0F2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DE4ED8F4">
      <w:start w:val="1"/>
      <w:numFmt w:val="bullet"/>
      <w:lvlText w:val="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8A371B"/>
    <w:multiLevelType w:val="hybridMultilevel"/>
    <w:tmpl w:val="DB224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C0E7A"/>
    <w:multiLevelType w:val="hybridMultilevel"/>
    <w:tmpl w:val="40CE9864"/>
    <w:lvl w:ilvl="0" w:tplc="23ACDE5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271F6"/>
    <w:multiLevelType w:val="hybridMultilevel"/>
    <w:tmpl w:val="28640716"/>
    <w:lvl w:ilvl="0" w:tplc="1D92EE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4C5841"/>
    <w:multiLevelType w:val="hybridMultilevel"/>
    <w:tmpl w:val="C1F4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378D5"/>
    <w:multiLevelType w:val="hybridMultilevel"/>
    <w:tmpl w:val="A942B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72FA1"/>
    <w:multiLevelType w:val="hybridMultilevel"/>
    <w:tmpl w:val="EE16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06795"/>
    <w:multiLevelType w:val="hybridMultilevel"/>
    <w:tmpl w:val="F77CE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D6B2C"/>
    <w:multiLevelType w:val="hybridMultilevel"/>
    <w:tmpl w:val="72EE73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758EF"/>
    <w:multiLevelType w:val="hybridMultilevel"/>
    <w:tmpl w:val="FF4CA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E6B52"/>
    <w:multiLevelType w:val="hybridMultilevel"/>
    <w:tmpl w:val="CEF4D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857BB7"/>
    <w:multiLevelType w:val="hybridMultilevel"/>
    <w:tmpl w:val="D4D0B92A"/>
    <w:lvl w:ilvl="0" w:tplc="D9622376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4D3F1F40"/>
    <w:multiLevelType w:val="hybridMultilevel"/>
    <w:tmpl w:val="03E020D2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6" w15:restartNumberingAfterBreak="0">
    <w:nsid w:val="50D66868"/>
    <w:multiLevelType w:val="hybridMultilevel"/>
    <w:tmpl w:val="66902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0A128C"/>
    <w:multiLevelType w:val="hybridMultilevel"/>
    <w:tmpl w:val="65FE24E0"/>
    <w:lvl w:ilvl="0" w:tplc="24120E16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B3594"/>
    <w:multiLevelType w:val="hybridMultilevel"/>
    <w:tmpl w:val="3FF86794"/>
    <w:lvl w:ilvl="0" w:tplc="A96C3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6C78CE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4ABAA6" w:tentative="1">
      <w:start w:val="1"/>
      <w:numFmt w:val="lowerRoman"/>
      <w:lvlText w:val="%3."/>
      <w:lvlJc w:val="right"/>
      <w:pPr>
        <w:ind w:left="2160" w:hanging="180"/>
      </w:pPr>
    </w:lvl>
    <w:lvl w:ilvl="3" w:tplc="18B8CF6C" w:tentative="1">
      <w:start w:val="1"/>
      <w:numFmt w:val="decimal"/>
      <w:lvlText w:val="%4."/>
      <w:lvlJc w:val="left"/>
      <w:pPr>
        <w:ind w:left="2880" w:hanging="360"/>
      </w:pPr>
    </w:lvl>
    <w:lvl w:ilvl="4" w:tplc="104CB996" w:tentative="1">
      <w:start w:val="1"/>
      <w:numFmt w:val="lowerLetter"/>
      <w:lvlText w:val="%5."/>
      <w:lvlJc w:val="left"/>
      <w:pPr>
        <w:ind w:left="3600" w:hanging="360"/>
      </w:pPr>
    </w:lvl>
    <w:lvl w:ilvl="5" w:tplc="5B30BAEA" w:tentative="1">
      <w:start w:val="1"/>
      <w:numFmt w:val="lowerRoman"/>
      <w:lvlText w:val="%6."/>
      <w:lvlJc w:val="right"/>
      <w:pPr>
        <w:ind w:left="4320" w:hanging="180"/>
      </w:pPr>
    </w:lvl>
    <w:lvl w:ilvl="6" w:tplc="4D947652" w:tentative="1">
      <w:start w:val="1"/>
      <w:numFmt w:val="decimal"/>
      <w:lvlText w:val="%7."/>
      <w:lvlJc w:val="left"/>
      <w:pPr>
        <w:ind w:left="5040" w:hanging="360"/>
      </w:pPr>
    </w:lvl>
    <w:lvl w:ilvl="7" w:tplc="998044B6" w:tentative="1">
      <w:start w:val="1"/>
      <w:numFmt w:val="lowerLetter"/>
      <w:lvlText w:val="%8."/>
      <w:lvlJc w:val="left"/>
      <w:pPr>
        <w:ind w:left="5760" w:hanging="360"/>
      </w:pPr>
    </w:lvl>
    <w:lvl w:ilvl="8" w:tplc="8C946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9557C"/>
    <w:multiLevelType w:val="hybridMultilevel"/>
    <w:tmpl w:val="19C4EC28"/>
    <w:lvl w:ilvl="0" w:tplc="5602E0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95ADB"/>
    <w:multiLevelType w:val="hybridMultilevel"/>
    <w:tmpl w:val="A2CA9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F129A"/>
    <w:multiLevelType w:val="hybridMultilevel"/>
    <w:tmpl w:val="A72E1C48"/>
    <w:lvl w:ilvl="0" w:tplc="08090017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2" w15:restartNumberingAfterBreak="0">
    <w:nsid w:val="5A216131"/>
    <w:multiLevelType w:val="hybridMultilevel"/>
    <w:tmpl w:val="1B60A90C"/>
    <w:lvl w:ilvl="0" w:tplc="C04217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5F190651"/>
    <w:multiLevelType w:val="hybridMultilevel"/>
    <w:tmpl w:val="F5F6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73829"/>
    <w:multiLevelType w:val="hybridMultilevel"/>
    <w:tmpl w:val="752C72A4"/>
    <w:lvl w:ilvl="0" w:tplc="620E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8966DB"/>
    <w:multiLevelType w:val="hybridMultilevel"/>
    <w:tmpl w:val="40D0E9D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64402ED3"/>
    <w:multiLevelType w:val="hybridMultilevel"/>
    <w:tmpl w:val="18CC9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F467D"/>
    <w:multiLevelType w:val="hybridMultilevel"/>
    <w:tmpl w:val="C05060A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8" w15:restartNumberingAfterBreak="0">
    <w:nsid w:val="697F0DAF"/>
    <w:multiLevelType w:val="hybridMultilevel"/>
    <w:tmpl w:val="4F0253D0"/>
    <w:lvl w:ilvl="0" w:tplc="08090017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1B61"/>
    <w:multiLevelType w:val="hybridMultilevel"/>
    <w:tmpl w:val="3D6CC7D8"/>
    <w:lvl w:ilvl="0" w:tplc="0809000F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  <w:b w:val="0"/>
      </w:rPr>
    </w:lvl>
    <w:lvl w:ilvl="1" w:tplc="08090019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2" w:tplc="0809001B">
      <w:start w:val="1"/>
      <w:numFmt w:val="lowerLetter"/>
      <w:lvlText w:val="%3."/>
      <w:lvlJc w:val="left"/>
      <w:pPr>
        <w:tabs>
          <w:tab w:val="num" w:pos="1631"/>
        </w:tabs>
        <w:ind w:left="1631" w:hanging="360"/>
      </w:pPr>
      <w:rPr>
        <w:rFonts w:hint="default"/>
      </w:rPr>
    </w:lvl>
    <w:lvl w:ilvl="3" w:tplc="0809000F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40" w15:restartNumberingAfterBreak="0">
    <w:nsid w:val="71837064"/>
    <w:multiLevelType w:val="hybridMultilevel"/>
    <w:tmpl w:val="9F620104"/>
    <w:lvl w:ilvl="0" w:tplc="AC941E80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78FB1AB6"/>
    <w:multiLevelType w:val="hybridMultilevel"/>
    <w:tmpl w:val="C696EFFA"/>
    <w:lvl w:ilvl="0" w:tplc="08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42" w15:restartNumberingAfterBreak="0">
    <w:nsid w:val="7B5E0679"/>
    <w:multiLevelType w:val="hybridMultilevel"/>
    <w:tmpl w:val="F72E6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36F9F"/>
    <w:multiLevelType w:val="hybridMultilevel"/>
    <w:tmpl w:val="F424C3B8"/>
    <w:lvl w:ilvl="0" w:tplc="0809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8" w:hanging="360"/>
      </w:pPr>
      <w:rPr>
        <w:rFonts w:ascii="Wingdings" w:hAnsi="Wingdings" w:hint="default"/>
      </w:rPr>
    </w:lvl>
  </w:abstractNum>
  <w:abstractNum w:abstractNumId="44" w15:restartNumberingAfterBreak="0">
    <w:nsid w:val="7DC94F2E"/>
    <w:multiLevelType w:val="hybridMultilevel"/>
    <w:tmpl w:val="9864CC98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5" w15:restartNumberingAfterBreak="0">
    <w:nsid w:val="7DE93500"/>
    <w:multiLevelType w:val="hybridMultilevel"/>
    <w:tmpl w:val="1A1C2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30FEB"/>
    <w:multiLevelType w:val="hybridMultilevel"/>
    <w:tmpl w:val="8F7CF38A"/>
    <w:lvl w:ilvl="0" w:tplc="9C808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4"/>
  </w:num>
  <w:num w:numId="3">
    <w:abstractNumId w:val="7"/>
  </w:num>
  <w:num w:numId="4">
    <w:abstractNumId w:val="23"/>
  </w:num>
  <w:num w:numId="5">
    <w:abstractNumId w:val="9"/>
  </w:num>
  <w:num w:numId="6">
    <w:abstractNumId w:val="0"/>
  </w:num>
  <w:num w:numId="7">
    <w:abstractNumId w:val="27"/>
  </w:num>
  <w:num w:numId="8">
    <w:abstractNumId w:val="31"/>
  </w:num>
  <w:num w:numId="9">
    <w:abstractNumId w:val="40"/>
  </w:num>
  <w:num w:numId="10">
    <w:abstractNumId w:val="5"/>
  </w:num>
  <w:num w:numId="11">
    <w:abstractNumId w:val="38"/>
  </w:num>
  <w:num w:numId="12">
    <w:abstractNumId w:val="46"/>
  </w:num>
  <w:num w:numId="13">
    <w:abstractNumId w:val="6"/>
  </w:num>
  <w:num w:numId="14">
    <w:abstractNumId w:val="3"/>
  </w:num>
  <w:num w:numId="15">
    <w:abstractNumId w:val="26"/>
  </w:num>
  <w:num w:numId="16">
    <w:abstractNumId w:val="37"/>
  </w:num>
  <w:num w:numId="17">
    <w:abstractNumId w:val="36"/>
  </w:num>
  <w:num w:numId="18">
    <w:abstractNumId w:val="34"/>
  </w:num>
  <w:num w:numId="19">
    <w:abstractNumId w:val="10"/>
  </w:num>
  <w:num w:numId="20">
    <w:abstractNumId w:val="28"/>
  </w:num>
  <w:num w:numId="21">
    <w:abstractNumId w:val="2"/>
  </w:num>
  <w:num w:numId="22">
    <w:abstractNumId w:val="21"/>
  </w:num>
  <w:num w:numId="23">
    <w:abstractNumId w:val="18"/>
  </w:num>
  <w:num w:numId="24">
    <w:abstractNumId w:val="25"/>
  </w:num>
  <w:num w:numId="25">
    <w:abstractNumId w:val="29"/>
  </w:num>
  <w:num w:numId="26">
    <w:abstractNumId w:val="30"/>
  </w:num>
  <w:num w:numId="27">
    <w:abstractNumId w:val="4"/>
  </w:num>
  <w:num w:numId="28">
    <w:abstractNumId w:val="41"/>
  </w:num>
  <w:num w:numId="29">
    <w:abstractNumId w:val="16"/>
  </w:num>
  <w:num w:numId="30">
    <w:abstractNumId w:val="32"/>
  </w:num>
  <w:num w:numId="31">
    <w:abstractNumId w:val="39"/>
  </w:num>
  <w:num w:numId="32">
    <w:abstractNumId w:val="44"/>
  </w:num>
  <w:num w:numId="33">
    <w:abstractNumId w:val="22"/>
  </w:num>
  <w:num w:numId="34">
    <w:abstractNumId w:val="1"/>
  </w:num>
  <w:num w:numId="35">
    <w:abstractNumId w:val="35"/>
  </w:num>
  <w:num w:numId="36">
    <w:abstractNumId w:val="11"/>
  </w:num>
  <w:num w:numId="37">
    <w:abstractNumId w:val="8"/>
  </w:num>
  <w:num w:numId="38">
    <w:abstractNumId w:val="20"/>
  </w:num>
  <w:num w:numId="39">
    <w:abstractNumId w:val="45"/>
  </w:num>
  <w:num w:numId="40">
    <w:abstractNumId w:val="42"/>
  </w:num>
  <w:num w:numId="41">
    <w:abstractNumId w:val="19"/>
  </w:num>
  <w:num w:numId="42">
    <w:abstractNumId w:val="43"/>
  </w:num>
  <w:num w:numId="43">
    <w:abstractNumId w:val="12"/>
  </w:num>
  <w:num w:numId="44">
    <w:abstractNumId w:val="14"/>
  </w:num>
  <w:num w:numId="45">
    <w:abstractNumId w:val="15"/>
  </w:num>
  <w:num w:numId="46">
    <w:abstractNumId w:val="17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88"/>
    <w:rsid w:val="000030E3"/>
    <w:rsid w:val="00014C06"/>
    <w:rsid w:val="0001728E"/>
    <w:rsid w:val="0002016B"/>
    <w:rsid w:val="0002618A"/>
    <w:rsid w:val="00026F5C"/>
    <w:rsid w:val="000371F1"/>
    <w:rsid w:val="00041081"/>
    <w:rsid w:val="00044A06"/>
    <w:rsid w:val="00047092"/>
    <w:rsid w:val="00054328"/>
    <w:rsid w:val="00061AAA"/>
    <w:rsid w:val="000638A2"/>
    <w:rsid w:val="000758E4"/>
    <w:rsid w:val="00082EBE"/>
    <w:rsid w:val="00085130"/>
    <w:rsid w:val="0009301E"/>
    <w:rsid w:val="00097291"/>
    <w:rsid w:val="000A7B91"/>
    <w:rsid w:val="000B51AE"/>
    <w:rsid w:val="000C2D9B"/>
    <w:rsid w:val="000C51A9"/>
    <w:rsid w:val="000F25AC"/>
    <w:rsid w:val="000F2F53"/>
    <w:rsid w:val="000F62AE"/>
    <w:rsid w:val="00100E70"/>
    <w:rsid w:val="0011185A"/>
    <w:rsid w:val="0011379C"/>
    <w:rsid w:val="00113DAE"/>
    <w:rsid w:val="00130FED"/>
    <w:rsid w:val="00134103"/>
    <w:rsid w:val="001470DE"/>
    <w:rsid w:val="00151D63"/>
    <w:rsid w:val="00152911"/>
    <w:rsid w:val="00154A29"/>
    <w:rsid w:val="00154E55"/>
    <w:rsid w:val="001662CE"/>
    <w:rsid w:val="00172736"/>
    <w:rsid w:val="00174BA5"/>
    <w:rsid w:val="00182465"/>
    <w:rsid w:val="001837EF"/>
    <w:rsid w:val="00187FE5"/>
    <w:rsid w:val="001903F1"/>
    <w:rsid w:val="001910BD"/>
    <w:rsid w:val="001A0B5F"/>
    <w:rsid w:val="001A2151"/>
    <w:rsid w:val="001A7A4E"/>
    <w:rsid w:val="001A7B3C"/>
    <w:rsid w:val="001B45CC"/>
    <w:rsid w:val="001B4761"/>
    <w:rsid w:val="001B4C7E"/>
    <w:rsid w:val="001C1682"/>
    <w:rsid w:val="001C335C"/>
    <w:rsid w:val="001D130F"/>
    <w:rsid w:val="001D65A6"/>
    <w:rsid w:val="001D6A83"/>
    <w:rsid w:val="001E340B"/>
    <w:rsid w:val="001E3EF5"/>
    <w:rsid w:val="00200E8B"/>
    <w:rsid w:val="0020113A"/>
    <w:rsid w:val="00207C06"/>
    <w:rsid w:val="002141CD"/>
    <w:rsid w:val="00215096"/>
    <w:rsid w:val="00216EC7"/>
    <w:rsid w:val="00217ED1"/>
    <w:rsid w:val="00220F8F"/>
    <w:rsid w:val="00224545"/>
    <w:rsid w:val="002354B2"/>
    <w:rsid w:val="00247787"/>
    <w:rsid w:val="00251447"/>
    <w:rsid w:val="00251874"/>
    <w:rsid w:val="00251F6E"/>
    <w:rsid w:val="00254704"/>
    <w:rsid w:val="00261A55"/>
    <w:rsid w:val="00282CE5"/>
    <w:rsid w:val="0028607D"/>
    <w:rsid w:val="002A0D79"/>
    <w:rsid w:val="002A199C"/>
    <w:rsid w:val="002A45D4"/>
    <w:rsid w:val="002A585F"/>
    <w:rsid w:val="002B2C15"/>
    <w:rsid w:val="002B3803"/>
    <w:rsid w:val="002C1BCB"/>
    <w:rsid w:val="002C246D"/>
    <w:rsid w:val="002D1F63"/>
    <w:rsid w:val="002F7C31"/>
    <w:rsid w:val="00300CF6"/>
    <w:rsid w:val="00301A37"/>
    <w:rsid w:val="00310F65"/>
    <w:rsid w:val="0031365B"/>
    <w:rsid w:val="003167F0"/>
    <w:rsid w:val="00316F8D"/>
    <w:rsid w:val="00317989"/>
    <w:rsid w:val="003201DA"/>
    <w:rsid w:val="00322113"/>
    <w:rsid w:val="003228C3"/>
    <w:rsid w:val="00322BE1"/>
    <w:rsid w:val="003232F2"/>
    <w:rsid w:val="003330DC"/>
    <w:rsid w:val="00345DAB"/>
    <w:rsid w:val="003509B6"/>
    <w:rsid w:val="0035122B"/>
    <w:rsid w:val="00356F11"/>
    <w:rsid w:val="00360F08"/>
    <w:rsid w:val="00361497"/>
    <w:rsid w:val="003668C3"/>
    <w:rsid w:val="00366C3B"/>
    <w:rsid w:val="00367982"/>
    <w:rsid w:val="003719D0"/>
    <w:rsid w:val="003819BF"/>
    <w:rsid w:val="0039373B"/>
    <w:rsid w:val="00396F15"/>
    <w:rsid w:val="0039708F"/>
    <w:rsid w:val="003A2BBA"/>
    <w:rsid w:val="003B24FA"/>
    <w:rsid w:val="003B3492"/>
    <w:rsid w:val="003B39C8"/>
    <w:rsid w:val="003C219D"/>
    <w:rsid w:val="003C2F49"/>
    <w:rsid w:val="003C59C5"/>
    <w:rsid w:val="003D4B26"/>
    <w:rsid w:val="003F5E00"/>
    <w:rsid w:val="0040441B"/>
    <w:rsid w:val="004103EB"/>
    <w:rsid w:val="00413A9A"/>
    <w:rsid w:val="00415833"/>
    <w:rsid w:val="004207C9"/>
    <w:rsid w:val="0043698B"/>
    <w:rsid w:val="004373D3"/>
    <w:rsid w:val="00440652"/>
    <w:rsid w:val="00441860"/>
    <w:rsid w:val="00445581"/>
    <w:rsid w:val="00462922"/>
    <w:rsid w:val="004629CF"/>
    <w:rsid w:val="00462E11"/>
    <w:rsid w:val="00466729"/>
    <w:rsid w:val="004722E9"/>
    <w:rsid w:val="00485C60"/>
    <w:rsid w:val="00491DBF"/>
    <w:rsid w:val="004A69DB"/>
    <w:rsid w:val="004B0A4F"/>
    <w:rsid w:val="004C30ED"/>
    <w:rsid w:val="004D462E"/>
    <w:rsid w:val="004D7B74"/>
    <w:rsid w:val="004F4E8A"/>
    <w:rsid w:val="00505A67"/>
    <w:rsid w:val="00511440"/>
    <w:rsid w:val="00512DB7"/>
    <w:rsid w:val="0052004A"/>
    <w:rsid w:val="00526137"/>
    <w:rsid w:val="00534665"/>
    <w:rsid w:val="00537217"/>
    <w:rsid w:val="00537315"/>
    <w:rsid w:val="005513A1"/>
    <w:rsid w:val="00551581"/>
    <w:rsid w:val="00551DDC"/>
    <w:rsid w:val="00555CF0"/>
    <w:rsid w:val="0056122A"/>
    <w:rsid w:val="005701FE"/>
    <w:rsid w:val="00574032"/>
    <w:rsid w:val="00590D1D"/>
    <w:rsid w:val="005A2C4B"/>
    <w:rsid w:val="005A3D98"/>
    <w:rsid w:val="005A6137"/>
    <w:rsid w:val="005A7631"/>
    <w:rsid w:val="005B39FB"/>
    <w:rsid w:val="005C1839"/>
    <w:rsid w:val="005D1256"/>
    <w:rsid w:val="005D58B5"/>
    <w:rsid w:val="005E3A60"/>
    <w:rsid w:val="006014AD"/>
    <w:rsid w:val="00606CDA"/>
    <w:rsid w:val="00620C10"/>
    <w:rsid w:val="00621923"/>
    <w:rsid w:val="00640583"/>
    <w:rsid w:val="00640BD0"/>
    <w:rsid w:val="006420D2"/>
    <w:rsid w:val="00643674"/>
    <w:rsid w:val="00646D72"/>
    <w:rsid w:val="0065268A"/>
    <w:rsid w:val="00652F2E"/>
    <w:rsid w:val="00656F1C"/>
    <w:rsid w:val="00657FB4"/>
    <w:rsid w:val="006628E5"/>
    <w:rsid w:val="00662D63"/>
    <w:rsid w:val="006677C9"/>
    <w:rsid w:val="00676CDE"/>
    <w:rsid w:val="0068603F"/>
    <w:rsid w:val="00692B3C"/>
    <w:rsid w:val="0069412B"/>
    <w:rsid w:val="006A3CB4"/>
    <w:rsid w:val="006C0907"/>
    <w:rsid w:val="006C1ECD"/>
    <w:rsid w:val="006C1F07"/>
    <w:rsid w:val="006C692D"/>
    <w:rsid w:val="006D34D6"/>
    <w:rsid w:val="006E3579"/>
    <w:rsid w:val="006E3CB8"/>
    <w:rsid w:val="006E5AB3"/>
    <w:rsid w:val="006F15E2"/>
    <w:rsid w:val="006F4A8F"/>
    <w:rsid w:val="00700CA5"/>
    <w:rsid w:val="00707D5F"/>
    <w:rsid w:val="007103DD"/>
    <w:rsid w:val="00723B56"/>
    <w:rsid w:val="007343DC"/>
    <w:rsid w:val="0074355F"/>
    <w:rsid w:val="00764F96"/>
    <w:rsid w:val="007671BD"/>
    <w:rsid w:val="0078318E"/>
    <w:rsid w:val="00784773"/>
    <w:rsid w:val="00795D7F"/>
    <w:rsid w:val="007963B1"/>
    <w:rsid w:val="007A3B1A"/>
    <w:rsid w:val="007A6845"/>
    <w:rsid w:val="007B004C"/>
    <w:rsid w:val="007B0BBA"/>
    <w:rsid w:val="007C4FFE"/>
    <w:rsid w:val="007D2E17"/>
    <w:rsid w:val="007E0C75"/>
    <w:rsid w:val="008151E5"/>
    <w:rsid w:val="00830E97"/>
    <w:rsid w:val="008312F1"/>
    <w:rsid w:val="0083191A"/>
    <w:rsid w:val="00832438"/>
    <w:rsid w:val="00832874"/>
    <w:rsid w:val="0084333C"/>
    <w:rsid w:val="008514EE"/>
    <w:rsid w:val="008517E6"/>
    <w:rsid w:val="00854BC8"/>
    <w:rsid w:val="00861C48"/>
    <w:rsid w:val="00862E8D"/>
    <w:rsid w:val="00864016"/>
    <w:rsid w:val="008649EF"/>
    <w:rsid w:val="00865D5A"/>
    <w:rsid w:val="00867092"/>
    <w:rsid w:val="0088226B"/>
    <w:rsid w:val="008877B7"/>
    <w:rsid w:val="008A22E0"/>
    <w:rsid w:val="008A453B"/>
    <w:rsid w:val="008B0EFB"/>
    <w:rsid w:val="008B2137"/>
    <w:rsid w:val="008B6207"/>
    <w:rsid w:val="008C61B0"/>
    <w:rsid w:val="008D2A10"/>
    <w:rsid w:val="008D369F"/>
    <w:rsid w:val="008D4AAD"/>
    <w:rsid w:val="008F02E5"/>
    <w:rsid w:val="008F29B1"/>
    <w:rsid w:val="008F3085"/>
    <w:rsid w:val="008F3509"/>
    <w:rsid w:val="008F6515"/>
    <w:rsid w:val="008F6FB6"/>
    <w:rsid w:val="00903E8B"/>
    <w:rsid w:val="00913FEB"/>
    <w:rsid w:val="00915A2F"/>
    <w:rsid w:val="0092378C"/>
    <w:rsid w:val="00940878"/>
    <w:rsid w:val="009422BE"/>
    <w:rsid w:val="00946083"/>
    <w:rsid w:val="00965845"/>
    <w:rsid w:val="00973F6F"/>
    <w:rsid w:val="009771AB"/>
    <w:rsid w:val="009874A5"/>
    <w:rsid w:val="0099061E"/>
    <w:rsid w:val="009A7179"/>
    <w:rsid w:val="009A727B"/>
    <w:rsid w:val="009B1415"/>
    <w:rsid w:val="009B26CB"/>
    <w:rsid w:val="009B78CB"/>
    <w:rsid w:val="009C1157"/>
    <w:rsid w:val="009C18F9"/>
    <w:rsid w:val="009C40C2"/>
    <w:rsid w:val="009C5727"/>
    <w:rsid w:val="009E5211"/>
    <w:rsid w:val="009E744D"/>
    <w:rsid w:val="009F2586"/>
    <w:rsid w:val="009F4B05"/>
    <w:rsid w:val="009F5C65"/>
    <w:rsid w:val="009F731B"/>
    <w:rsid w:val="00A02BBE"/>
    <w:rsid w:val="00A03C5A"/>
    <w:rsid w:val="00A04CB6"/>
    <w:rsid w:val="00A14F15"/>
    <w:rsid w:val="00A17D27"/>
    <w:rsid w:val="00A30F20"/>
    <w:rsid w:val="00A35AC3"/>
    <w:rsid w:val="00A401E5"/>
    <w:rsid w:val="00A4297D"/>
    <w:rsid w:val="00A4557A"/>
    <w:rsid w:val="00A4623A"/>
    <w:rsid w:val="00A47196"/>
    <w:rsid w:val="00A5204A"/>
    <w:rsid w:val="00A6280E"/>
    <w:rsid w:val="00A66966"/>
    <w:rsid w:val="00A8105B"/>
    <w:rsid w:val="00A92769"/>
    <w:rsid w:val="00AB12C6"/>
    <w:rsid w:val="00AB1C81"/>
    <w:rsid w:val="00AB36AA"/>
    <w:rsid w:val="00AE23CF"/>
    <w:rsid w:val="00AF49E8"/>
    <w:rsid w:val="00B02A05"/>
    <w:rsid w:val="00B02B78"/>
    <w:rsid w:val="00B07A35"/>
    <w:rsid w:val="00B11015"/>
    <w:rsid w:val="00B209C4"/>
    <w:rsid w:val="00B2294D"/>
    <w:rsid w:val="00B413D1"/>
    <w:rsid w:val="00B46922"/>
    <w:rsid w:val="00B5447B"/>
    <w:rsid w:val="00B54F60"/>
    <w:rsid w:val="00B6739D"/>
    <w:rsid w:val="00B7400E"/>
    <w:rsid w:val="00B7402E"/>
    <w:rsid w:val="00B77A25"/>
    <w:rsid w:val="00B94B2E"/>
    <w:rsid w:val="00BA197E"/>
    <w:rsid w:val="00BA1E8F"/>
    <w:rsid w:val="00BA7300"/>
    <w:rsid w:val="00BB070A"/>
    <w:rsid w:val="00BB70B0"/>
    <w:rsid w:val="00BC669F"/>
    <w:rsid w:val="00BD003F"/>
    <w:rsid w:val="00BD201B"/>
    <w:rsid w:val="00BD316F"/>
    <w:rsid w:val="00BE31BB"/>
    <w:rsid w:val="00BE42E9"/>
    <w:rsid w:val="00BE442F"/>
    <w:rsid w:val="00BE586F"/>
    <w:rsid w:val="00BF2D43"/>
    <w:rsid w:val="00C00B74"/>
    <w:rsid w:val="00C015D4"/>
    <w:rsid w:val="00C048E0"/>
    <w:rsid w:val="00C06467"/>
    <w:rsid w:val="00C10BE1"/>
    <w:rsid w:val="00C1743E"/>
    <w:rsid w:val="00C23185"/>
    <w:rsid w:val="00C24BE3"/>
    <w:rsid w:val="00C556F8"/>
    <w:rsid w:val="00C6296F"/>
    <w:rsid w:val="00C67D08"/>
    <w:rsid w:val="00C742FC"/>
    <w:rsid w:val="00C77B08"/>
    <w:rsid w:val="00C82940"/>
    <w:rsid w:val="00C84726"/>
    <w:rsid w:val="00C84A67"/>
    <w:rsid w:val="00C854CC"/>
    <w:rsid w:val="00C86006"/>
    <w:rsid w:val="00C911A0"/>
    <w:rsid w:val="00C92E87"/>
    <w:rsid w:val="00C9793A"/>
    <w:rsid w:val="00C97E79"/>
    <w:rsid w:val="00CA0F9F"/>
    <w:rsid w:val="00CB0C2A"/>
    <w:rsid w:val="00CC0071"/>
    <w:rsid w:val="00CC45DB"/>
    <w:rsid w:val="00CC6C8C"/>
    <w:rsid w:val="00CC7EF6"/>
    <w:rsid w:val="00CD1A17"/>
    <w:rsid w:val="00CD4B85"/>
    <w:rsid w:val="00CE4D68"/>
    <w:rsid w:val="00CE6010"/>
    <w:rsid w:val="00D013F3"/>
    <w:rsid w:val="00D02A95"/>
    <w:rsid w:val="00D071B8"/>
    <w:rsid w:val="00D12D8E"/>
    <w:rsid w:val="00D21DE8"/>
    <w:rsid w:val="00D23699"/>
    <w:rsid w:val="00D24BF5"/>
    <w:rsid w:val="00D5246F"/>
    <w:rsid w:val="00D5467A"/>
    <w:rsid w:val="00D57483"/>
    <w:rsid w:val="00D62A09"/>
    <w:rsid w:val="00D651DC"/>
    <w:rsid w:val="00D65C59"/>
    <w:rsid w:val="00D70AF6"/>
    <w:rsid w:val="00D71EE1"/>
    <w:rsid w:val="00D73BE0"/>
    <w:rsid w:val="00D80388"/>
    <w:rsid w:val="00D82A5D"/>
    <w:rsid w:val="00DA3D92"/>
    <w:rsid w:val="00DA4118"/>
    <w:rsid w:val="00DA5F5A"/>
    <w:rsid w:val="00DA72C2"/>
    <w:rsid w:val="00DB30EE"/>
    <w:rsid w:val="00DB6124"/>
    <w:rsid w:val="00DC2520"/>
    <w:rsid w:val="00DC3B84"/>
    <w:rsid w:val="00DC7230"/>
    <w:rsid w:val="00DE0E7A"/>
    <w:rsid w:val="00DE266D"/>
    <w:rsid w:val="00DF0052"/>
    <w:rsid w:val="00E10816"/>
    <w:rsid w:val="00E12020"/>
    <w:rsid w:val="00E14887"/>
    <w:rsid w:val="00E17229"/>
    <w:rsid w:val="00E25653"/>
    <w:rsid w:val="00E262A9"/>
    <w:rsid w:val="00E3495D"/>
    <w:rsid w:val="00E3516A"/>
    <w:rsid w:val="00E4038D"/>
    <w:rsid w:val="00E42347"/>
    <w:rsid w:val="00E44216"/>
    <w:rsid w:val="00E50C5D"/>
    <w:rsid w:val="00E5160D"/>
    <w:rsid w:val="00E53C74"/>
    <w:rsid w:val="00E55DD7"/>
    <w:rsid w:val="00E60E9E"/>
    <w:rsid w:val="00E632C1"/>
    <w:rsid w:val="00E64C4F"/>
    <w:rsid w:val="00E6511F"/>
    <w:rsid w:val="00E7680C"/>
    <w:rsid w:val="00E776DF"/>
    <w:rsid w:val="00E83A5B"/>
    <w:rsid w:val="00E83B28"/>
    <w:rsid w:val="00E870E7"/>
    <w:rsid w:val="00E9044C"/>
    <w:rsid w:val="00E9767D"/>
    <w:rsid w:val="00EA418F"/>
    <w:rsid w:val="00EA68F9"/>
    <w:rsid w:val="00EB1C54"/>
    <w:rsid w:val="00EB43AD"/>
    <w:rsid w:val="00EB7034"/>
    <w:rsid w:val="00EC351C"/>
    <w:rsid w:val="00ED2B09"/>
    <w:rsid w:val="00ED5AB1"/>
    <w:rsid w:val="00ED7793"/>
    <w:rsid w:val="00EE2D1C"/>
    <w:rsid w:val="00EE31BC"/>
    <w:rsid w:val="00EF06B3"/>
    <w:rsid w:val="00F03318"/>
    <w:rsid w:val="00F05765"/>
    <w:rsid w:val="00F1050E"/>
    <w:rsid w:val="00F10A4D"/>
    <w:rsid w:val="00F27BA2"/>
    <w:rsid w:val="00F45AE2"/>
    <w:rsid w:val="00F604E8"/>
    <w:rsid w:val="00F678A4"/>
    <w:rsid w:val="00F773F7"/>
    <w:rsid w:val="00F83FFB"/>
    <w:rsid w:val="00F91903"/>
    <w:rsid w:val="00F925BA"/>
    <w:rsid w:val="00F96E61"/>
    <w:rsid w:val="00FA433D"/>
    <w:rsid w:val="00FA63CF"/>
    <w:rsid w:val="00FA7775"/>
    <w:rsid w:val="00FB772B"/>
    <w:rsid w:val="00FD6675"/>
    <w:rsid w:val="00FE4A0A"/>
    <w:rsid w:val="00FE7CA7"/>
    <w:rsid w:val="00FF126A"/>
    <w:rsid w:val="00FF2987"/>
    <w:rsid w:val="00FF62EA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26FA7B-E280-4460-A5AE-40A996EF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88"/>
    <w:pPr>
      <w:spacing w:line="240" w:lineRule="auto"/>
      <w:jc w:val="righ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803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80388"/>
    <w:rPr>
      <w:rFonts w:ascii="Calibri" w:eastAsia="Calibri" w:hAnsi="Calibri" w:cs="Times New Roman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"/>
    <w:basedOn w:val="Normal"/>
    <w:link w:val="ListParagraphChar"/>
    <w:uiPriority w:val="34"/>
    <w:qFormat/>
    <w:rsid w:val="00D80388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"/>
    <w:basedOn w:val="DefaultParagraphFont"/>
    <w:link w:val="ListParagraph"/>
    <w:uiPriority w:val="34"/>
    <w:qFormat/>
    <w:locked/>
    <w:rsid w:val="00D80388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130FED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30FED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B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1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2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2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22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D54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204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204A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C77B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98C36-EA6A-4212-ACFA-65C1FA70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Holterman</dc:creator>
  <cp:keywords/>
  <dc:description/>
  <cp:lastModifiedBy>Nuala Hennessy</cp:lastModifiedBy>
  <cp:revision>32</cp:revision>
  <cp:lastPrinted>2018-05-11T11:30:00Z</cp:lastPrinted>
  <dcterms:created xsi:type="dcterms:W3CDTF">2019-06-10T10:59:00Z</dcterms:created>
  <dcterms:modified xsi:type="dcterms:W3CDTF">2019-06-27T10:41:00Z</dcterms:modified>
</cp:coreProperties>
</file>