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DDE26" w14:textId="69976ADD" w:rsidR="00DA1747" w:rsidRPr="004C7D0D" w:rsidRDefault="00B633DC" w:rsidP="00B633DC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015F6A">
        <w:rPr>
          <w:rFonts w:ascii="Arial" w:hAnsi="Arial" w:cs="Arial"/>
          <w:b/>
          <w:sz w:val="24"/>
          <w:szCs w:val="24"/>
        </w:rPr>
        <w:t xml:space="preserve">Farming with Nature </w:t>
      </w:r>
      <w:r>
        <w:rPr>
          <w:rFonts w:ascii="Arial" w:hAnsi="Arial" w:cs="Arial"/>
          <w:b/>
          <w:sz w:val="24"/>
          <w:szCs w:val="24"/>
        </w:rPr>
        <w:t xml:space="preserve">Higher Scheme – </w:t>
      </w:r>
      <w:proofErr w:type="spellStart"/>
      <w:r>
        <w:rPr>
          <w:rFonts w:ascii="Arial" w:hAnsi="Arial" w:cs="Arial"/>
          <w:b/>
          <w:sz w:val="24"/>
          <w:szCs w:val="24"/>
        </w:rPr>
        <w:t>FwNH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Information Sheet</w:t>
      </w:r>
    </w:p>
    <w:tbl>
      <w:tblPr>
        <w:tblpPr w:leftFromText="180" w:rightFromText="180" w:vertAnchor="text" w:horzAnchor="margin" w:tblpXSpec="center" w:tblpY="98"/>
        <w:tblW w:w="5207" w:type="pct"/>
        <w:tblLayout w:type="fixed"/>
        <w:tblLook w:val="04A0" w:firstRow="1" w:lastRow="0" w:firstColumn="1" w:lastColumn="0" w:noHBand="0" w:noVBand="1"/>
      </w:tblPr>
      <w:tblGrid>
        <w:gridCol w:w="2192"/>
        <w:gridCol w:w="1358"/>
        <w:gridCol w:w="15"/>
        <w:gridCol w:w="424"/>
        <w:gridCol w:w="554"/>
        <w:gridCol w:w="389"/>
        <w:gridCol w:w="1008"/>
        <w:gridCol w:w="113"/>
        <w:gridCol w:w="246"/>
        <w:gridCol w:w="306"/>
        <w:gridCol w:w="30"/>
        <w:gridCol w:w="2736"/>
        <w:gridCol w:w="13"/>
        <w:gridCol w:w="6"/>
      </w:tblGrid>
      <w:tr w:rsidR="00DA1747" w:rsidRPr="000148A9" w14:paraId="18263811" w14:textId="77777777" w:rsidTr="00F4443D">
        <w:trPr>
          <w:trHeight w:val="420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CA01C10" w14:textId="77777777" w:rsidR="00DA1747" w:rsidRPr="000148A9" w:rsidRDefault="00DA1747" w:rsidP="00F4443D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t>Option Name:</w:t>
            </w:r>
          </w:p>
        </w:tc>
        <w:tc>
          <w:tcPr>
            <w:tcW w:w="3833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7DDC" w14:textId="77777777" w:rsidR="00DA1747" w:rsidRPr="00DA1747" w:rsidRDefault="00DA1747" w:rsidP="00F4443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A1747">
              <w:rPr>
                <w:rFonts w:ascii="Arial" w:hAnsi="Arial" w:cs="Arial"/>
                <w:b/>
              </w:rPr>
              <w:t>Lapwing fallow plot</w:t>
            </w:r>
          </w:p>
        </w:tc>
      </w:tr>
      <w:tr w:rsidR="00DA1747" w:rsidRPr="000148A9" w14:paraId="48D2721C" w14:textId="77777777" w:rsidTr="00F4443D">
        <w:trPr>
          <w:trHeight w:val="283"/>
        </w:trPr>
        <w:tc>
          <w:tcPr>
            <w:tcW w:w="1167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D41A12C" w14:textId="77777777" w:rsidR="00DA1747" w:rsidRDefault="00DA1747" w:rsidP="00F4443D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</w:p>
        </w:tc>
        <w:tc>
          <w:tcPr>
            <w:tcW w:w="3833" w:type="pct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0C2EB" w14:textId="77777777" w:rsidR="00DA1747" w:rsidRPr="009203CB" w:rsidRDefault="00DA1747" w:rsidP="00F4443D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</w:rPr>
            </w:pPr>
          </w:p>
        </w:tc>
      </w:tr>
      <w:tr w:rsidR="00DA1747" w:rsidRPr="000148A9" w14:paraId="33B12FBB" w14:textId="77777777" w:rsidTr="00F4443D">
        <w:trPr>
          <w:trHeight w:val="420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C70739D" w14:textId="77777777" w:rsidR="00DA1747" w:rsidRPr="000148A9" w:rsidRDefault="00DA1747" w:rsidP="00F4443D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  <w:r>
              <w:rPr>
                <w:rFonts w:ascii="Arial" w:eastAsia="Times" w:hAnsi="Arial" w:cs="Arial"/>
                <w:b/>
              </w:rPr>
              <w:t>Option Code:</w:t>
            </w:r>
          </w:p>
        </w:tc>
        <w:tc>
          <w:tcPr>
            <w:tcW w:w="3833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26E7" w14:textId="77777777" w:rsidR="00DA1747" w:rsidRPr="002179F7" w:rsidRDefault="00DA1747" w:rsidP="00F4443D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  <w:r>
              <w:rPr>
                <w:rFonts w:ascii="Arial" w:eastAsia="Times" w:hAnsi="Arial" w:cs="Arial"/>
                <w:b/>
              </w:rPr>
              <w:t>LFP</w:t>
            </w:r>
          </w:p>
        </w:tc>
      </w:tr>
      <w:tr w:rsidR="002955CB" w:rsidRPr="000148A9" w14:paraId="53A7F9BF" w14:textId="77777777" w:rsidTr="002632E9">
        <w:trPr>
          <w:gridAfter w:val="1"/>
          <w:wAfter w:w="3" w:type="pct"/>
          <w:trHeight w:val="283"/>
        </w:trPr>
        <w:tc>
          <w:tcPr>
            <w:tcW w:w="1167" w:type="pct"/>
            <w:tcBorders>
              <w:bottom w:val="single" w:sz="4" w:space="0" w:color="auto"/>
            </w:tcBorders>
            <w:vAlign w:val="center"/>
            <w:hideMark/>
          </w:tcPr>
          <w:p w14:paraId="2F80DB2C" w14:textId="77777777" w:rsidR="00DA1747" w:rsidRDefault="00DA1747" w:rsidP="00DA1747">
            <w:pPr>
              <w:rPr>
                <w:rFonts w:ascii="Arial" w:hAnsi="Arial" w:cs="Arial"/>
                <w:b/>
              </w:rPr>
            </w:pPr>
          </w:p>
        </w:tc>
        <w:tc>
          <w:tcPr>
            <w:tcW w:w="731" w:type="pct"/>
            <w:gridSpan w:val="2"/>
            <w:tcBorders>
              <w:bottom w:val="single" w:sz="4" w:space="0" w:color="auto"/>
            </w:tcBorders>
            <w:vAlign w:val="center"/>
          </w:tcPr>
          <w:p w14:paraId="7D64F056" w14:textId="77777777" w:rsidR="002955CB" w:rsidRDefault="002955C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3099" w:type="pct"/>
            <w:gridSpan w:val="10"/>
            <w:tcBorders>
              <w:bottom w:val="single" w:sz="4" w:space="0" w:color="auto"/>
            </w:tcBorders>
            <w:vAlign w:val="center"/>
          </w:tcPr>
          <w:p w14:paraId="24650CC7" w14:textId="77777777" w:rsidR="002955CB" w:rsidRDefault="002955C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</w:p>
        </w:tc>
      </w:tr>
      <w:tr w:rsidR="00B633DC" w:rsidRPr="000148A9" w14:paraId="0094B057" w14:textId="77777777" w:rsidTr="00B633DC">
        <w:trPr>
          <w:gridAfter w:val="2"/>
          <w:wAfter w:w="10" w:type="pct"/>
          <w:trHeight w:val="283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6E24EADA" w14:textId="77777777" w:rsidR="00B633DC" w:rsidRPr="000148A9" w:rsidRDefault="00B633DC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Option Payment:</w:t>
            </w:r>
          </w:p>
        </w:tc>
        <w:tc>
          <w:tcPr>
            <w:tcW w:w="3823" w:type="pct"/>
            <w:gridSpan w:val="11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69F97A" w14:textId="0836FE66" w:rsidR="00B633DC" w:rsidRPr="000148A9" w:rsidRDefault="00B633DC" w:rsidP="0048795C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£1,080.00 per ha</w:t>
            </w:r>
          </w:p>
        </w:tc>
      </w:tr>
      <w:tr w:rsidR="002955CB" w:rsidRPr="000148A9" w14:paraId="462086FF" w14:textId="77777777" w:rsidTr="002632E9">
        <w:trPr>
          <w:gridAfter w:val="1"/>
          <w:wAfter w:w="3" w:type="pct"/>
          <w:trHeight w:val="283"/>
        </w:trPr>
        <w:tc>
          <w:tcPr>
            <w:tcW w:w="1167" w:type="pct"/>
            <w:tcBorders>
              <w:top w:val="single" w:sz="4" w:space="0" w:color="auto"/>
            </w:tcBorders>
            <w:hideMark/>
          </w:tcPr>
          <w:p w14:paraId="633DA61C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830" w:type="pct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F1A7C54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</w:p>
        </w:tc>
      </w:tr>
      <w:tr w:rsidR="002955CB" w:rsidRPr="000148A9" w14:paraId="2D4C3E2C" w14:textId="77777777" w:rsidTr="002632E9">
        <w:trPr>
          <w:gridAfter w:val="1"/>
          <w:wAfter w:w="3" w:type="pct"/>
          <w:trHeight w:val="865"/>
        </w:trPr>
        <w:tc>
          <w:tcPr>
            <w:tcW w:w="1167" w:type="pct"/>
            <w:tcBorders>
              <w:right w:val="single" w:sz="4" w:space="0" w:color="auto"/>
            </w:tcBorders>
            <w:hideMark/>
          </w:tcPr>
          <w:p w14:paraId="68E7AE5D" w14:textId="77777777" w:rsidR="002955CB" w:rsidRPr="000148A9" w:rsidRDefault="00B01D52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Option Aim</w:t>
            </w:r>
            <w:r w:rsidR="002955CB" w:rsidRPr="000148A9">
              <w:rPr>
                <w:rFonts w:ascii="Arial" w:hAnsi="Arial" w:cs="Arial"/>
                <w:b/>
              </w:rPr>
              <w:t>(s):</w:t>
            </w:r>
          </w:p>
        </w:tc>
        <w:tc>
          <w:tcPr>
            <w:tcW w:w="383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1BCD" w14:textId="77777777" w:rsidR="002955CB" w:rsidRPr="000148A9" w:rsidRDefault="00EF3E55" w:rsidP="00414349">
            <w:pPr>
              <w:ind w:left="24"/>
              <w:rPr>
                <w:rFonts w:ascii="Arial" w:hAnsi="Arial" w:cs="Arial"/>
              </w:rPr>
            </w:pPr>
            <w:r w:rsidRPr="00015956">
              <w:rPr>
                <w:rFonts w:ascii="Arial" w:hAnsi="Arial" w:cs="Arial"/>
              </w:rPr>
              <w:t>To maintain and increase the breeding success of lapwing nesting on arable farmland by providing suitable breeding and feeding conditions</w:t>
            </w:r>
            <w:r w:rsidR="00DA1747">
              <w:rPr>
                <w:rFonts w:ascii="Arial" w:hAnsi="Arial" w:cs="Arial"/>
              </w:rPr>
              <w:t>.</w:t>
            </w:r>
          </w:p>
        </w:tc>
      </w:tr>
      <w:tr w:rsidR="00B633DC" w:rsidRPr="000148A9" w14:paraId="206EEA72" w14:textId="77777777" w:rsidTr="002632E9">
        <w:trPr>
          <w:gridAfter w:val="4"/>
          <w:wAfter w:w="1483" w:type="pct"/>
          <w:trHeight w:val="283"/>
        </w:trPr>
        <w:tc>
          <w:tcPr>
            <w:tcW w:w="1167" w:type="pct"/>
            <w:vAlign w:val="center"/>
            <w:hideMark/>
          </w:tcPr>
          <w:p w14:paraId="2829A6A6" w14:textId="77777777" w:rsidR="00B633DC" w:rsidRPr="0069355A" w:rsidRDefault="00B633DC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2056" w:type="pct"/>
            <w:gridSpan w:val="7"/>
            <w:vAlign w:val="center"/>
          </w:tcPr>
          <w:p w14:paraId="60EAE4B3" w14:textId="77777777" w:rsidR="00B633DC" w:rsidRPr="0069355A" w:rsidRDefault="00B633DC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294" w:type="pct"/>
            <w:gridSpan w:val="2"/>
            <w:tcBorders>
              <w:bottom w:val="single" w:sz="4" w:space="0" w:color="auto"/>
            </w:tcBorders>
            <w:vAlign w:val="center"/>
          </w:tcPr>
          <w:p w14:paraId="2E54A249" w14:textId="77777777" w:rsidR="00B633DC" w:rsidRPr="0069355A" w:rsidRDefault="00B633DC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</w:rPr>
            </w:pPr>
          </w:p>
        </w:tc>
      </w:tr>
      <w:tr w:rsidR="00B633DC" w:rsidRPr="000148A9" w14:paraId="0BF20D44" w14:textId="77777777" w:rsidTr="002632E9">
        <w:trPr>
          <w:gridAfter w:val="4"/>
          <w:wAfter w:w="1483" w:type="pct"/>
          <w:trHeight w:val="414"/>
        </w:trPr>
        <w:tc>
          <w:tcPr>
            <w:tcW w:w="1167" w:type="pct"/>
            <w:vAlign w:val="center"/>
            <w:hideMark/>
          </w:tcPr>
          <w:p w14:paraId="5A24EC62" w14:textId="77777777" w:rsidR="00B633DC" w:rsidRPr="0069355A" w:rsidRDefault="00B633DC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  <w:r w:rsidRPr="0069355A">
              <w:rPr>
                <w:rFonts w:ascii="Arial" w:hAnsi="Arial" w:cs="Arial"/>
                <w:b/>
              </w:rPr>
              <w:t>This option is made up of:</w:t>
            </w:r>
          </w:p>
        </w:tc>
        <w:tc>
          <w:tcPr>
            <w:tcW w:w="2056" w:type="pct"/>
            <w:gridSpan w:val="7"/>
            <w:tcBorders>
              <w:right w:val="single" w:sz="4" w:space="0" w:color="auto"/>
            </w:tcBorders>
            <w:vAlign w:val="center"/>
          </w:tcPr>
          <w:p w14:paraId="558D44B1" w14:textId="77777777" w:rsidR="00B633DC" w:rsidRPr="0069355A" w:rsidRDefault="00B633DC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  <w:r w:rsidRPr="0069355A">
              <w:rPr>
                <w:rFonts w:ascii="Arial" w:hAnsi="Arial" w:cs="Arial"/>
              </w:rPr>
              <w:t>Annual Management requirements</w:t>
            </w:r>
          </w:p>
        </w:tc>
        <w:tc>
          <w:tcPr>
            <w:tcW w:w="2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1305" w14:textId="77777777" w:rsidR="00B633DC" w:rsidRPr="00B37630" w:rsidRDefault="00B633DC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B37630">
              <w:rPr>
                <w:rFonts w:ascii="Arial" w:hAnsi="Arial" w:cs="Arial"/>
                <w:b/>
              </w:rPr>
              <w:sym w:font="Wingdings" w:char="00FC"/>
            </w:r>
          </w:p>
        </w:tc>
      </w:tr>
      <w:tr w:rsidR="002955CB" w:rsidRPr="000148A9" w14:paraId="32A08283" w14:textId="77777777" w:rsidTr="002632E9">
        <w:trPr>
          <w:gridAfter w:val="1"/>
          <w:wAfter w:w="3" w:type="pct"/>
          <w:trHeight w:val="283"/>
        </w:trPr>
        <w:tc>
          <w:tcPr>
            <w:tcW w:w="1167" w:type="pct"/>
            <w:vAlign w:val="center"/>
            <w:hideMark/>
          </w:tcPr>
          <w:p w14:paraId="5FF39D8D" w14:textId="77777777" w:rsidR="002955CB" w:rsidRDefault="002955CB" w:rsidP="002955CB">
            <w:pPr>
              <w:tabs>
                <w:tab w:val="left" w:pos="2790"/>
              </w:tabs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957" w:type="pct"/>
            <w:gridSpan w:val="3"/>
            <w:vAlign w:val="center"/>
          </w:tcPr>
          <w:p w14:paraId="1FF01EBD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lang w:val="en-US"/>
              </w:rPr>
            </w:pPr>
          </w:p>
        </w:tc>
        <w:tc>
          <w:tcPr>
            <w:tcW w:w="295" w:type="pct"/>
            <w:tcBorders>
              <w:bottom w:val="single" w:sz="4" w:space="0" w:color="auto"/>
            </w:tcBorders>
            <w:vAlign w:val="center"/>
          </w:tcPr>
          <w:p w14:paraId="59D7FD71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eastAsia="Times" w:hAnsi="Arial" w:cs="Arial"/>
                <w:b/>
              </w:rPr>
            </w:pPr>
          </w:p>
        </w:tc>
        <w:tc>
          <w:tcPr>
            <w:tcW w:w="744" w:type="pct"/>
            <w:gridSpan w:val="2"/>
            <w:vAlign w:val="center"/>
          </w:tcPr>
          <w:p w14:paraId="4E22CE83" w14:textId="77777777" w:rsidR="002955CB" w:rsidRPr="00761FD0" w:rsidRDefault="002955CB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</w:rPr>
            </w:pPr>
          </w:p>
        </w:tc>
        <w:tc>
          <w:tcPr>
            <w:tcW w:w="370" w:type="pct"/>
            <w:gridSpan w:val="4"/>
            <w:tcBorders>
              <w:bottom w:val="single" w:sz="4" w:space="0" w:color="auto"/>
            </w:tcBorders>
            <w:vAlign w:val="center"/>
          </w:tcPr>
          <w:p w14:paraId="28595819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64" w:type="pct"/>
            <w:gridSpan w:val="2"/>
            <w:vAlign w:val="center"/>
          </w:tcPr>
          <w:p w14:paraId="06958F20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eastAsia="Times" w:hAnsi="Arial" w:cs="Arial"/>
                <w:b/>
              </w:rPr>
            </w:pPr>
          </w:p>
        </w:tc>
      </w:tr>
      <w:tr w:rsidR="002955CB" w:rsidRPr="000148A9" w14:paraId="71BB5D91" w14:textId="77777777" w:rsidTr="002632E9">
        <w:trPr>
          <w:gridAfter w:val="1"/>
          <w:wAfter w:w="3" w:type="pct"/>
          <w:trHeight w:val="414"/>
        </w:trPr>
        <w:tc>
          <w:tcPr>
            <w:tcW w:w="1167" w:type="pct"/>
            <w:vAlign w:val="center"/>
            <w:hideMark/>
          </w:tcPr>
          <w:p w14:paraId="52BBA4CB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This option is:</w:t>
            </w:r>
          </w:p>
        </w:tc>
        <w:tc>
          <w:tcPr>
            <w:tcW w:w="957" w:type="pct"/>
            <w:gridSpan w:val="3"/>
            <w:tcBorders>
              <w:right w:val="single" w:sz="4" w:space="0" w:color="auto"/>
            </w:tcBorders>
            <w:vAlign w:val="center"/>
          </w:tcPr>
          <w:p w14:paraId="03ADEB59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  <w:b/>
              </w:rPr>
            </w:pPr>
            <w:r w:rsidRPr="000148A9">
              <w:rPr>
                <w:rFonts w:ascii="Arial" w:eastAsia="Times" w:hAnsi="Arial" w:cs="Arial"/>
                <w:lang w:val="en-US"/>
              </w:rPr>
              <w:t>Permanent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6284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eastAsia="Times" w:hAnsi="Arial" w:cs="Arial"/>
                <w:b/>
              </w:rPr>
            </w:pPr>
          </w:p>
        </w:tc>
        <w:tc>
          <w:tcPr>
            <w:tcW w:w="74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229BB" w14:textId="77777777" w:rsidR="002955CB" w:rsidRPr="00761FD0" w:rsidRDefault="002955CB" w:rsidP="002955CB">
            <w:pPr>
              <w:tabs>
                <w:tab w:val="left" w:pos="2790"/>
              </w:tabs>
              <w:spacing w:after="0"/>
              <w:rPr>
                <w:rFonts w:ascii="Arial" w:eastAsia="Times" w:hAnsi="Arial" w:cs="Arial"/>
              </w:rPr>
            </w:pPr>
            <w:r w:rsidRPr="00761FD0">
              <w:rPr>
                <w:rFonts w:ascii="Arial" w:eastAsia="Times" w:hAnsi="Arial" w:cs="Arial"/>
              </w:rPr>
              <w:t>Rotational</w:t>
            </w:r>
          </w:p>
        </w:tc>
        <w:tc>
          <w:tcPr>
            <w:tcW w:w="3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EB96" w14:textId="77777777" w:rsidR="002955CB" w:rsidRPr="00B37630" w:rsidRDefault="00F759CD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eastAsia="Times" w:hAnsi="Arial" w:cs="Arial"/>
                <w:b/>
              </w:rPr>
            </w:pPr>
            <w:r w:rsidRPr="00B37630">
              <w:rPr>
                <w:rFonts w:ascii="Arial" w:hAnsi="Arial" w:cs="Arial"/>
                <w:b/>
              </w:rPr>
              <w:sym w:font="Wingdings" w:char="00FC"/>
            </w:r>
          </w:p>
        </w:tc>
        <w:tc>
          <w:tcPr>
            <w:tcW w:w="1464" w:type="pct"/>
            <w:gridSpan w:val="2"/>
            <w:tcBorders>
              <w:left w:val="single" w:sz="4" w:space="0" w:color="auto"/>
            </w:tcBorders>
            <w:vAlign w:val="center"/>
          </w:tcPr>
          <w:p w14:paraId="4475AEB0" w14:textId="77777777" w:rsidR="002955CB" w:rsidRPr="000148A9" w:rsidRDefault="002955CB" w:rsidP="002955CB">
            <w:pPr>
              <w:tabs>
                <w:tab w:val="left" w:pos="2790"/>
              </w:tabs>
              <w:spacing w:after="0"/>
              <w:jc w:val="center"/>
              <w:rPr>
                <w:rFonts w:ascii="Arial" w:eastAsia="Times" w:hAnsi="Arial" w:cs="Arial"/>
                <w:b/>
              </w:rPr>
            </w:pPr>
          </w:p>
        </w:tc>
      </w:tr>
      <w:tr w:rsidR="002955CB" w:rsidRPr="000148A9" w14:paraId="0C4D9C64" w14:textId="77777777" w:rsidTr="002632E9">
        <w:trPr>
          <w:gridAfter w:val="1"/>
          <w:wAfter w:w="3" w:type="pct"/>
          <w:trHeight w:val="283"/>
        </w:trPr>
        <w:tc>
          <w:tcPr>
            <w:tcW w:w="1167" w:type="pct"/>
            <w:hideMark/>
          </w:tcPr>
          <w:p w14:paraId="3C017664" w14:textId="77777777" w:rsidR="002955CB" w:rsidRPr="000148A9" w:rsidRDefault="002955CB" w:rsidP="002955CB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830" w:type="pct"/>
            <w:gridSpan w:val="12"/>
            <w:tcBorders>
              <w:bottom w:val="single" w:sz="4" w:space="0" w:color="auto"/>
            </w:tcBorders>
            <w:vAlign w:val="center"/>
          </w:tcPr>
          <w:p w14:paraId="1F27B7C4" w14:textId="77777777" w:rsidR="002955CB" w:rsidRDefault="002955CB" w:rsidP="002955CB">
            <w:pPr>
              <w:spacing w:after="0"/>
              <w:rPr>
                <w:rFonts w:ascii="Arial" w:hAnsi="Arial" w:cs="Arial"/>
              </w:rPr>
            </w:pPr>
          </w:p>
          <w:p w14:paraId="51C1A116" w14:textId="77777777" w:rsidR="00B12248" w:rsidRPr="002E6992" w:rsidRDefault="00B12248" w:rsidP="002955CB">
            <w:pPr>
              <w:spacing w:after="0"/>
              <w:rPr>
                <w:rFonts w:ascii="Arial" w:hAnsi="Arial" w:cs="Arial"/>
              </w:rPr>
            </w:pPr>
          </w:p>
        </w:tc>
      </w:tr>
      <w:tr w:rsidR="002955CB" w:rsidRPr="000148A9" w14:paraId="50D3E052" w14:textId="77777777" w:rsidTr="002632E9">
        <w:trPr>
          <w:gridAfter w:val="1"/>
          <w:wAfter w:w="3" w:type="pct"/>
          <w:trHeight w:val="420"/>
        </w:trPr>
        <w:tc>
          <w:tcPr>
            <w:tcW w:w="1167" w:type="pct"/>
            <w:tcBorders>
              <w:right w:val="single" w:sz="4" w:space="0" w:color="auto"/>
            </w:tcBorders>
            <w:hideMark/>
          </w:tcPr>
          <w:p w14:paraId="1875622D" w14:textId="77777777" w:rsidR="002955CB" w:rsidRPr="000148A9" w:rsidRDefault="002955CB" w:rsidP="00DA1747">
            <w:pPr>
              <w:spacing w:after="0"/>
              <w:rPr>
                <w:rFonts w:ascii="Arial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t>O</w:t>
            </w:r>
            <w:r>
              <w:rPr>
                <w:rFonts w:ascii="Arial" w:hAnsi="Arial" w:cs="Arial"/>
                <w:b/>
              </w:rPr>
              <w:t>ption Description and Outcome:</w:t>
            </w:r>
          </w:p>
        </w:tc>
        <w:tc>
          <w:tcPr>
            <w:tcW w:w="383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1483" w14:textId="7C28AA8A" w:rsidR="002955CB" w:rsidRPr="00761FD0" w:rsidRDefault="00EF3E55" w:rsidP="00B1224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Option</w:t>
            </w:r>
            <w:r w:rsidRPr="00055121">
              <w:rPr>
                <w:rFonts w:ascii="Arial" w:hAnsi="Arial" w:cs="Arial"/>
              </w:rPr>
              <w:t xml:space="preserve"> will successfully establish a fallow plot</w:t>
            </w:r>
            <w:r>
              <w:rPr>
                <w:rFonts w:ascii="Arial" w:hAnsi="Arial" w:cs="Arial"/>
              </w:rPr>
              <w:t xml:space="preserve"> which is an area left fallow (unplanted) from spring or in the previous autumn until 31</w:t>
            </w:r>
            <w:r w:rsidRPr="00892D88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July. These areas</w:t>
            </w:r>
            <w:r w:rsidRPr="00055121">
              <w:rPr>
                <w:rFonts w:ascii="Arial" w:hAnsi="Arial" w:cs="Arial"/>
              </w:rPr>
              <w:t xml:space="preserve"> will allow lapwing to nest without disturbance.</w:t>
            </w:r>
          </w:p>
        </w:tc>
      </w:tr>
      <w:tr w:rsidR="002955CB" w:rsidRPr="000148A9" w14:paraId="6F6571C3" w14:textId="77777777" w:rsidTr="002632E9">
        <w:trPr>
          <w:gridAfter w:val="1"/>
          <w:wAfter w:w="3" w:type="pct"/>
          <w:trHeight w:val="283"/>
        </w:trPr>
        <w:tc>
          <w:tcPr>
            <w:tcW w:w="1167" w:type="pct"/>
            <w:hideMark/>
          </w:tcPr>
          <w:p w14:paraId="6B5197DB" w14:textId="77777777" w:rsidR="002955CB" w:rsidRPr="000148A9" w:rsidRDefault="002955CB" w:rsidP="002955CB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830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BA63E" w14:textId="77777777" w:rsidR="002955CB" w:rsidRDefault="002955CB" w:rsidP="00B1224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2955CB" w:rsidRPr="000148A9" w14:paraId="69A149AF" w14:textId="77777777" w:rsidTr="002632E9">
        <w:trPr>
          <w:gridAfter w:val="1"/>
          <w:wAfter w:w="3" w:type="pct"/>
          <w:trHeight w:val="420"/>
        </w:trPr>
        <w:tc>
          <w:tcPr>
            <w:tcW w:w="1167" w:type="pct"/>
            <w:tcBorders>
              <w:right w:val="single" w:sz="4" w:space="0" w:color="auto"/>
            </w:tcBorders>
            <w:vAlign w:val="center"/>
            <w:hideMark/>
          </w:tcPr>
          <w:p w14:paraId="457A2054" w14:textId="77777777" w:rsidR="002955CB" w:rsidRDefault="002955CB" w:rsidP="002955CB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Area Permitted: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3704BD" w14:textId="77777777" w:rsidR="002955CB" w:rsidRPr="00115C6F" w:rsidRDefault="002955CB" w:rsidP="002955CB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115C6F">
              <w:rPr>
                <w:rFonts w:ascii="Arial" w:hAnsi="Arial" w:cs="Arial"/>
                <w:b/>
              </w:rPr>
              <w:t>Minimum</w:t>
            </w:r>
          </w:p>
        </w:tc>
        <w:tc>
          <w:tcPr>
            <w:tcW w:w="73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DB8C6" w14:textId="77777777" w:rsidR="002955CB" w:rsidRDefault="00A521FE" w:rsidP="002955C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</w:t>
            </w:r>
            <w:r w:rsidR="009F4BFE">
              <w:rPr>
                <w:rFonts w:ascii="Arial" w:hAnsi="Arial" w:cs="Arial"/>
              </w:rPr>
              <w:t xml:space="preserve"> ha</w:t>
            </w:r>
          </w:p>
        </w:tc>
        <w:tc>
          <w:tcPr>
            <w:tcW w:w="728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67658" w14:textId="77777777" w:rsidR="002955CB" w:rsidRDefault="002955CB" w:rsidP="009F4BFE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Maximum</w:t>
            </w:r>
          </w:p>
        </w:tc>
        <w:tc>
          <w:tcPr>
            <w:tcW w:w="164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F5D1" w14:textId="77777777" w:rsidR="002955CB" w:rsidRDefault="009F4BFE" w:rsidP="002955CB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Applicable*</w:t>
            </w:r>
          </w:p>
        </w:tc>
      </w:tr>
    </w:tbl>
    <w:p w14:paraId="6B94BB07" w14:textId="7FA5ECF9" w:rsidR="00A82E70" w:rsidRDefault="00A82E70" w:rsidP="00A82E70">
      <w:pPr>
        <w:pStyle w:val="FootnoteTex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*DAERA reserves the right to limit a </w:t>
      </w:r>
      <w:proofErr w:type="spellStart"/>
      <w:r w:rsidR="00B633DC">
        <w:rPr>
          <w:rFonts w:ascii="Arial" w:hAnsi="Arial" w:cs="Arial"/>
          <w:sz w:val="18"/>
          <w:szCs w:val="18"/>
        </w:rPr>
        <w:t>FwNH</w:t>
      </w:r>
      <w:proofErr w:type="spellEnd"/>
      <w:r>
        <w:rPr>
          <w:rFonts w:ascii="Arial" w:hAnsi="Arial" w:cs="Arial"/>
          <w:sz w:val="18"/>
          <w:szCs w:val="18"/>
        </w:rPr>
        <w:t xml:space="preserve"> agreement value where it considers appropriate to ensure value for money. </w:t>
      </w:r>
    </w:p>
    <w:p w14:paraId="43D7F06E" w14:textId="77777777" w:rsidR="008259A7" w:rsidRDefault="008259A7" w:rsidP="002955CB">
      <w:pPr>
        <w:rPr>
          <w:rFonts w:ascii="Arial" w:hAnsi="Arial" w:cs="Arial"/>
          <w:b/>
        </w:rPr>
      </w:pPr>
    </w:p>
    <w:p w14:paraId="4E2F9396" w14:textId="77777777" w:rsidR="008259A7" w:rsidRDefault="002955CB" w:rsidP="0082156C">
      <w:pPr>
        <w:rPr>
          <w:rFonts w:ascii="Arial" w:hAnsi="Arial" w:cs="Arial"/>
          <w:b/>
        </w:rPr>
      </w:pPr>
      <w:r w:rsidRPr="000148A9">
        <w:rPr>
          <w:rFonts w:ascii="Arial" w:hAnsi="Arial" w:cs="Arial"/>
          <w:b/>
        </w:rPr>
        <w:t>Requirements and Controls</w:t>
      </w:r>
      <w:r>
        <w:rPr>
          <w:rFonts w:ascii="Arial" w:hAnsi="Arial" w:cs="Arial"/>
          <w:b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0"/>
        <w:gridCol w:w="6840"/>
        <w:gridCol w:w="415"/>
        <w:gridCol w:w="415"/>
        <w:gridCol w:w="337"/>
      </w:tblGrid>
      <w:tr w:rsidR="008259A7" w:rsidRPr="000148A9" w14:paraId="2FB0D1F5" w14:textId="77777777" w:rsidTr="004C158E">
        <w:trPr>
          <w:trHeight w:val="460"/>
        </w:trPr>
        <w:tc>
          <w:tcPr>
            <w:tcW w:w="5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23DC35A" w14:textId="77777777" w:rsidR="008259A7" w:rsidRPr="000148A9" w:rsidRDefault="008259A7" w:rsidP="004C158E">
            <w:pPr>
              <w:rPr>
                <w:rFonts w:ascii="Arial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t>Code</w:t>
            </w:r>
          </w:p>
        </w:tc>
        <w:tc>
          <w:tcPr>
            <w:tcW w:w="37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67C0FB6" w14:textId="77777777" w:rsidR="008259A7" w:rsidRPr="000148A9" w:rsidRDefault="008259A7" w:rsidP="004C158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Annual management requirements </w:t>
            </w:r>
          </w:p>
        </w:tc>
        <w:tc>
          <w:tcPr>
            <w:tcW w:w="6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073A5EA" w14:textId="77777777" w:rsidR="008259A7" w:rsidRPr="00DA1747" w:rsidRDefault="008259A7" w:rsidP="004C158E">
            <w:pPr>
              <w:rPr>
                <w:rFonts w:ascii="Arial" w:hAnsi="Arial" w:cs="Arial"/>
                <w:b/>
              </w:rPr>
            </w:pPr>
            <w:r w:rsidRPr="00DA1747">
              <w:rPr>
                <w:rFonts w:ascii="Arial" w:hAnsi="Arial" w:cs="Arial"/>
                <w:b/>
              </w:rPr>
              <w:t>Control type</w:t>
            </w:r>
            <w:r w:rsidRPr="00DA1747">
              <w:rPr>
                <w:rStyle w:val="FootnoteReference"/>
                <w:rFonts w:ascii="Arial" w:hAnsi="Arial" w:cs="Arial"/>
                <w:b/>
              </w:rPr>
              <w:t>1</w:t>
            </w:r>
          </w:p>
        </w:tc>
      </w:tr>
      <w:tr w:rsidR="008259A7" w:rsidRPr="000148A9" w14:paraId="33C2BC0D" w14:textId="77777777" w:rsidTr="004C158E">
        <w:trPr>
          <w:trHeight w:val="1211"/>
        </w:trPr>
        <w:tc>
          <w:tcPr>
            <w:tcW w:w="5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2D737694" w14:textId="77777777" w:rsidR="008259A7" w:rsidRPr="000148A9" w:rsidRDefault="008259A7" w:rsidP="004C158E">
            <w:pPr>
              <w:rPr>
                <w:rFonts w:ascii="Arial" w:hAnsi="Arial" w:cs="Arial"/>
                <w:b/>
              </w:rPr>
            </w:pPr>
          </w:p>
        </w:tc>
        <w:tc>
          <w:tcPr>
            <w:tcW w:w="37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198C5AF" w14:textId="77777777" w:rsidR="008259A7" w:rsidRDefault="008259A7" w:rsidP="004C158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hideMark/>
          </w:tcPr>
          <w:p w14:paraId="1CE4B413" w14:textId="77777777" w:rsidR="008259A7" w:rsidRPr="000148A9" w:rsidRDefault="008259A7" w:rsidP="004C158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t>Admin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hideMark/>
          </w:tcPr>
          <w:p w14:paraId="0CDD0D27" w14:textId="77777777" w:rsidR="008259A7" w:rsidRPr="000148A9" w:rsidRDefault="008259A7" w:rsidP="004C158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t>CwRS</w:t>
            </w:r>
          </w:p>
        </w:tc>
        <w:tc>
          <w:tcPr>
            <w:tcW w:w="1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textDirection w:val="btLr"/>
            <w:hideMark/>
          </w:tcPr>
          <w:p w14:paraId="174E5940" w14:textId="77777777" w:rsidR="008259A7" w:rsidRPr="000148A9" w:rsidRDefault="008259A7" w:rsidP="004C158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148A9">
              <w:rPr>
                <w:rFonts w:ascii="Arial" w:hAnsi="Arial" w:cs="Arial"/>
                <w:b/>
              </w:rPr>
              <w:t>OTSC</w:t>
            </w:r>
          </w:p>
        </w:tc>
      </w:tr>
      <w:tr w:rsidR="00B12248" w:rsidRPr="000148A9" w14:paraId="4BE17BCB" w14:textId="77777777" w:rsidTr="00013F4A">
        <w:trPr>
          <w:trHeight w:val="828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50B5035B" w14:textId="77777777" w:rsidR="00B12248" w:rsidRPr="00B12248" w:rsidRDefault="00B12248" w:rsidP="0048129E">
            <w:pPr>
              <w:rPr>
                <w:rFonts w:ascii="Arial" w:hAnsi="Arial" w:cs="Arial"/>
                <w:b/>
              </w:rPr>
            </w:pPr>
            <w:r w:rsidRPr="00B12248">
              <w:rPr>
                <w:rFonts w:ascii="Arial" w:hAnsi="Arial" w:cs="Arial"/>
                <w:b/>
              </w:rPr>
              <w:t>LFP1M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B4EA295" w14:textId="1A3205C0" w:rsidR="00B12248" w:rsidRPr="00C43FB6" w:rsidRDefault="00B12248" w:rsidP="009F4B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the claimed area of ‘Lapwing fallow plot’ each year</w:t>
            </w:r>
            <w:r w:rsidR="00DA174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of the </w:t>
            </w:r>
            <w:proofErr w:type="spellStart"/>
            <w:r w:rsidR="00B633DC">
              <w:rPr>
                <w:rFonts w:ascii="Arial" w:hAnsi="Arial" w:cs="Arial"/>
              </w:rPr>
              <w:t>FwNH</w:t>
            </w:r>
            <w:proofErr w:type="spellEnd"/>
            <w:r w:rsidR="00B633D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agreement.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2C016E1" w14:textId="77777777" w:rsidR="00B12248" w:rsidRPr="00C43FB6" w:rsidRDefault="00B12248" w:rsidP="004812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sym w:font="Wingdings" w:char="00FC"/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E3A8D08" w14:textId="77777777" w:rsidR="00B12248" w:rsidRPr="00C43FB6" w:rsidRDefault="00B12248" w:rsidP="004812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74136D5" w14:textId="77777777" w:rsidR="00B12248" w:rsidRPr="00C43FB6" w:rsidRDefault="00B12248" w:rsidP="004812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sym w:font="Wingdings" w:char="00FC"/>
            </w:r>
          </w:p>
        </w:tc>
      </w:tr>
      <w:tr w:rsidR="00B12248" w:rsidRPr="000148A9" w14:paraId="14216B61" w14:textId="77777777" w:rsidTr="00013F4A">
        <w:trPr>
          <w:trHeight w:val="828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24570299" w14:textId="77777777" w:rsidR="00B12248" w:rsidRPr="00B12248" w:rsidRDefault="00B12248" w:rsidP="0048129E">
            <w:pPr>
              <w:rPr>
                <w:rFonts w:ascii="Arial" w:hAnsi="Arial" w:cs="Arial"/>
                <w:b/>
              </w:rPr>
            </w:pPr>
            <w:r w:rsidRPr="00B12248">
              <w:rPr>
                <w:rFonts w:ascii="Arial" w:hAnsi="Arial" w:cs="Arial"/>
                <w:b/>
              </w:rPr>
              <w:t>LFP2M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90B77FB" w14:textId="1B967EA9" w:rsidR="00B12248" w:rsidRPr="00C43FB6" w:rsidRDefault="00B12248" w:rsidP="009F4B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Establish, retain and manage the claimed area of ‘Lapwing fallow plot’ as detailed in the </w:t>
            </w:r>
            <w:proofErr w:type="spellStart"/>
            <w:r w:rsidR="00B633DC">
              <w:rPr>
                <w:rFonts w:ascii="Arial" w:hAnsi="Arial" w:cs="Arial"/>
              </w:rPr>
              <w:t>FwNH</w:t>
            </w:r>
            <w:proofErr w:type="spellEnd"/>
            <w:r w:rsidR="00B633DC">
              <w:rPr>
                <w:rFonts w:ascii="Arial" w:hAnsi="Arial" w:cs="Arial"/>
              </w:rPr>
              <w:t xml:space="preserve"> agreement. 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806AE34" w14:textId="77777777" w:rsidR="00B12248" w:rsidRPr="00C43FB6" w:rsidRDefault="00B12248" w:rsidP="004812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00FC"/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355C874" w14:textId="77777777" w:rsidR="00B12248" w:rsidRPr="00C43FB6" w:rsidRDefault="00B12248" w:rsidP="004812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CF7A92A" w14:textId="77777777" w:rsidR="00B12248" w:rsidRPr="00C43FB6" w:rsidRDefault="00B12248" w:rsidP="004812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00FC"/>
            </w:r>
          </w:p>
        </w:tc>
      </w:tr>
      <w:tr w:rsidR="00B12248" w:rsidRPr="000148A9" w14:paraId="6F0F155B" w14:textId="77777777" w:rsidTr="00013F4A">
        <w:trPr>
          <w:trHeight w:val="828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612127C7" w14:textId="77777777" w:rsidR="00B12248" w:rsidRPr="00B12248" w:rsidRDefault="00B12248" w:rsidP="0048129E">
            <w:pPr>
              <w:rPr>
                <w:rFonts w:ascii="Arial" w:hAnsi="Arial" w:cs="Arial"/>
                <w:b/>
              </w:rPr>
            </w:pPr>
            <w:r w:rsidRPr="00B12248">
              <w:rPr>
                <w:rFonts w:ascii="Arial" w:hAnsi="Arial" w:cs="Arial"/>
                <w:b/>
              </w:rPr>
              <w:t>LFP3M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FFFD855" w14:textId="77777777" w:rsidR="00B12248" w:rsidRDefault="00DA1747" w:rsidP="004812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minimum </w:t>
            </w:r>
            <w:proofErr w:type="spellStart"/>
            <w:r>
              <w:rPr>
                <w:rFonts w:ascii="Arial" w:hAnsi="Arial" w:cs="Arial"/>
              </w:rPr>
              <w:t>plot</w:t>
            </w:r>
            <w:proofErr w:type="spellEnd"/>
            <w:r>
              <w:rPr>
                <w:rFonts w:ascii="Arial" w:hAnsi="Arial" w:cs="Arial"/>
              </w:rPr>
              <w:t xml:space="preserve"> size is 1 ha and the maximum is 2</w:t>
            </w:r>
            <w:r w:rsidR="00B12248">
              <w:rPr>
                <w:rFonts w:ascii="Arial" w:hAnsi="Arial" w:cs="Arial"/>
              </w:rPr>
              <w:t xml:space="preserve"> ha.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251B02F5" w14:textId="77777777" w:rsidR="00B12248" w:rsidRPr="00C43FB6" w:rsidRDefault="00B12248" w:rsidP="004812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sym w:font="Wingdings" w:char="00FC"/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84D2ED3" w14:textId="77777777" w:rsidR="00B12248" w:rsidRPr="00C43FB6" w:rsidRDefault="00B12248" w:rsidP="004812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40A0282" w14:textId="77777777" w:rsidR="00B12248" w:rsidRDefault="00B12248" w:rsidP="0048129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12248" w:rsidRPr="000148A9" w14:paraId="106F0C9F" w14:textId="77777777" w:rsidTr="00013F4A">
        <w:trPr>
          <w:trHeight w:val="828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30B345FC" w14:textId="77777777" w:rsidR="00B12248" w:rsidRPr="00B12248" w:rsidRDefault="00B12248" w:rsidP="0048129E">
            <w:pPr>
              <w:rPr>
                <w:rFonts w:ascii="Arial" w:hAnsi="Arial" w:cs="Arial"/>
                <w:b/>
              </w:rPr>
            </w:pPr>
            <w:r w:rsidRPr="00B12248">
              <w:rPr>
                <w:rFonts w:ascii="Arial" w:hAnsi="Arial" w:cs="Arial"/>
                <w:b/>
              </w:rPr>
              <w:lastRenderedPageBreak/>
              <w:t>LFP4M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890AD2F" w14:textId="77777777" w:rsidR="00B12248" w:rsidRDefault="00B12248" w:rsidP="004812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‘Lapwing fallow plot’ must be in place by 20</w:t>
            </w:r>
            <w:r w:rsidRPr="00892D88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March each year.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150DFB6" w14:textId="77777777" w:rsidR="00B12248" w:rsidRPr="00C43FB6" w:rsidRDefault="00B12248" w:rsidP="004812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6A2F15A" w14:textId="77777777" w:rsidR="00B12248" w:rsidRPr="00C43FB6" w:rsidRDefault="00B12248" w:rsidP="004812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411F84B" w14:textId="77777777" w:rsidR="00B12248" w:rsidRDefault="00B12248" w:rsidP="004812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00FC"/>
            </w:r>
          </w:p>
        </w:tc>
      </w:tr>
      <w:tr w:rsidR="00B12248" w:rsidRPr="000148A9" w14:paraId="72181A36" w14:textId="77777777" w:rsidTr="00013F4A">
        <w:trPr>
          <w:trHeight w:val="828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0F43EC28" w14:textId="77777777" w:rsidR="00B12248" w:rsidRPr="00B12248" w:rsidRDefault="00B12248" w:rsidP="0048129E">
            <w:pPr>
              <w:rPr>
                <w:rFonts w:ascii="Arial" w:hAnsi="Arial" w:cs="Arial"/>
                <w:b/>
              </w:rPr>
            </w:pPr>
            <w:r w:rsidRPr="00B12248">
              <w:rPr>
                <w:rFonts w:ascii="Arial" w:hAnsi="Arial" w:cs="Arial"/>
                <w:b/>
              </w:rPr>
              <w:t>LFP5M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BC77D71" w14:textId="77777777" w:rsidR="00B12248" w:rsidRPr="00C43FB6" w:rsidRDefault="00B12248" w:rsidP="004812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Retain the ‘Lapwing fallow plot’ until 31</w:t>
            </w:r>
            <w:r w:rsidRPr="00892D88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July each year.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F2439C1" w14:textId="77777777" w:rsidR="00B12248" w:rsidRPr="00C43FB6" w:rsidRDefault="00B12248" w:rsidP="004812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5BC89BEB" w14:textId="77777777" w:rsidR="00B12248" w:rsidRPr="00C43FB6" w:rsidRDefault="00B12248" w:rsidP="004812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A127B7C" w14:textId="77777777" w:rsidR="00B12248" w:rsidRPr="00C43FB6" w:rsidRDefault="00B12248" w:rsidP="004812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00FC"/>
            </w:r>
          </w:p>
        </w:tc>
      </w:tr>
      <w:tr w:rsidR="00B12248" w:rsidRPr="000148A9" w14:paraId="4B0D7337" w14:textId="77777777" w:rsidTr="00013F4A">
        <w:trPr>
          <w:trHeight w:val="828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21B2857A" w14:textId="77777777" w:rsidR="00B12248" w:rsidRPr="00B12248" w:rsidRDefault="00B12248" w:rsidP="0048129E">
            <w:pPr>
              <w:rPr>
                <w:rFonts w:ascii="Arial" w:hAnsi="Arial" w:cs="Arial"/>
                <w:b/>
              </w:rPr>
            </w:pPr>
            <w:r w:rsidRPr="00B12248">
              <w:rPr>
                <w:rFonts w:ascii="Arial" w:hAnsi="Arial" w:cs="Arial"/>
                <w:b/>
              </w:rPr>
              <w:t>LFP6M</w:t>
            </w:r>
          </w:p>
        </w:tc>
        <w:tc>
          <w:tcPr>
            <w:tcW w:w="3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8B75689" w14:textId="687E7D65" w:rsidR="00B12248" w:rsidRDefault="00B12248" w:rsidP="004812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Keep field records as </w:t>
            </w:r>
            <w:r w:rsidR="008A1697">
              <w:rPr>
                <w:rFonts w:ascii="Arial" w:hAnsi="Arial" w:cs="Arial"/>
              </w:rPr>
              <w:t xml:space="preserve">detailed in the </w:t>
            </w:r>
            <w:proofErr w:type="spellStart"/>
            <w:r w:rsidR="008A1697">
              <w:rPr>
                <w:rFonts w:ascii="Arial" w:hAnsi="Arial" w:cs="Arial"/>
              </w:rPr>
              <w:t>FwNH</w:t>
            </w:r>
            <w:proofErr w:type="spellEnd"/>
            <w:r w:rsidR="008A1697">
              <w:rPr>
                <w:rFonts w:ascii="Arial" w:hAnsi="Arial" w:cs="Arial"/>
              </w:rPr>
              <w:t xml:space="preserve"> agreement. 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C7FAEF9" w14:textId="77777777" w:rsidR="00B12248" w:rsidRPr="00C43FB6" w:rsidRDefault="00B12248" w:rsidP="004812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sym w:font="Wingdings" w:char="00FC"/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9683AD6" w14:textId="77777777" w:rsidR="00B12248" w:rsidRPr="00C43FB6" w:rsidRDefault="00B12248" w:rsidP="004812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4EA5D5F2" w14:textId="77777777" w:rsidR="00B12248" w:rsidRDefault="00B12248" w:rsidP="004812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00FC"/>
            </w:r>
          </w:p>
        </w:tc>
      </w:tr>
    </w:tbl>
    <w:p w14:paraId="5E09D7B3" w14:textId="77777777" w:rsidR="00B01D52" w:rsidRPr="00DA1747" w:rsidRDefault="00B01D52" w:rsidP="00B01D52">
      <w:pPr>
        <w:pStyle w:val="FootnoteText"/>
        <w:rPr>
          <w:rFonts w:ascii="Arial" w:hAnsi="Arial" w:cs="Arial"/>
          <w:sz w:val="18"/>
          <w:szCs w:val="18"/>
        </w:rPr>
      </w:pPr>
      <w:r w:rsidRPr="00DA1747">
        <w:rPr>
          <w:rStyle w:val="FootnoteReference"/>
          <w:rFonts w:ascii="Arial" w:hAnsi="Arial" w:cs="Arial"/>
          <w:sz w:val="18"/>
          <w:szCs w:val="18"/>
        </w:rPr>
        <w:footnoteRef/>
      </w:r>
      <w:r w:rsidRPr="00DA1747">
        <w:rPr>
          <w:rFonts w:ascii="Arial" w:hAnsi="Arial" w:cs="Arial"/>
          <w:sz w:val="18"/>
          <w:szCs w:val="18"/>
        </w:rPr>
        <w:t xml:space="preserve"> The possible control types for each requirement may be:</w:t>
      </w:r>
    </w:p>
    <w:p w14:paraId="3AA4DC3F" w14:textId="3296DCBA" w:rsidR="00DF3299" w:rsidRPr="00DA1747" w:rsidRDefault="00B01D52" w:rsidP="00B01D52">
      <w:pPr>
        <w:rPr>
          <w:rFonts w:ascii="Arial" w:hAnsi="Arial" w:cs="Arial"/>
          <w:sz w:val="18"/>
          <w:szCs w:val="18"/>
        </w:rPr>
      </w:pPr>
      <w:r w:rsidRPr="00DA1747">
        <w:rPr>
          <w:rFonts w:ascii="Arial" w:hAnsi="Arial" w:cs="Arial"/>
          <w:sz w:val="18"/>
          <w:szCs w:val="18"/>
        </w:rPr>
        <w:t>‘Admin’ – administrative checks</w:t>
      </w:r>
      <w:r w:rsidR="00B633DC">
        <w:rPr>
          <w:rFonts w:ascii="Arial" w:hAnsi="Arial" w:cs="Arial"/>
          <w:sz w:val="18"/>
          <w:szCs w:val="18"/>
        </w:rPr>
        <w:t>,</w:t>
      </w:r>
      <w:r w:rsidRPr="00DA1747">
        <w:rPr>
          <w:rFonts w:ascii="Arial" w:hAnsi="Arial" w:cs="Arial"/>
          <w:sz w:val="18"/>
          <w:szCs w:val="18"/>
        </w:rPr>
        <w:t xml:space="preserve"> ‘CwRS’ – Control with Remote </w:t>
      </w:r>
      <w:r w:rsidR="00B633DC" w:rsidRPr="00DA1747">
        <w:rPr>
          <w:rFonts w:ascii="Arial" w:hAnsi="Arial" w:cs="Arial"/>
          <w:sz w:val="18"/>
          <w:szCs w:val="18"/>
        </w:rPr>
        <w:t>Sensing, ‘</w:t>
      </w:r>
      <w:r w:rsidRPr="00DA1747">
        <w:rPr>
          <w:rFonts w:ascii="Arial" w:hAnsi="Arial" w:cs="Arial"/>
          <w:sz w:val="18"/>
          <w:szCs w:val="18"/>
        </w:rPr>
        <w:t>OTSC’ – On-the-Spot Check</w:t>
      </w:r>
    </w:p>
    <w:p w14:paraId="61A23E24" w14:textId="77777777" w:rsidR="00B12248" w:rsidRDefault="00B12248" w:rsidP="00B01D52"/>
    <w:p w14:paraId="2836E271" w14:textId="77777777" w:rsidR="00B12248" w:rsidRPr="00B12248" w:rsidRDefault="00B12248" w:rsidP="00B12248">
      <w:pPr>
        <w:rPr>
          <w:rFonts w:ascii="Arial" w:hAnsi="Arial" w:cs="Arial"/>
          <w:i/>
          <w:u w:val="single"/>
        </w:rPr>
      </w:pPr>
      <w:r w:rsidRPr="00B12248">
        <w:rPr>
          <w:rFonts w:ascii="Arial" w:hAnsi="Arial" w:cs="Arial"/>
          <w:b/>
          <w:u w:val="single"/>
        </w:rPr>
        <w:t>Further Advice:</w:t>
      </w:r>
    </w:p>
    <w:p w14:paraId="5C99CA16" w14:textId="77777777" w:rsidR="00B12248" w:rsidRDefault="00B12248" w:rsidP="00B12248">
      <w:pPr>
        <w:rPr>
          <w:rFonts w:ascii="Arial" w:hAnsi="Arial" w:cs="Arial"/>
          <w:b/>
        </w:rPr>
      </w:pPr>
      <w:r>
        <w:rPr>
          <w:rFonts w:ascii="Arial" w:hAnsi="Arial" w:cs="Arial"/>
        </w:rPr>
        <w:t>Fallow plots are best created by cultivation between 15</w:t>
      </w:r>
      <w:r w:rsidRPr="00892D8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February and 20</w:t>
      </w:r>
      <w:r w:rsidRPr="00892D88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March or during the previous autumn.  </w:t>
      </w:r>
    </w:p>
    <w:p w14:paraId="12EAA14F" w14:textId="5B5B1B3A" w:rsidR="00990644" w:rsidRPr="00EA62A4" w:rsidRDefault="00B12248" w:rsidP="00990644">
      <w:pPr>
        <w:autoSpaceDE w:val="0"/>
        <w:autoSpaceDN w:val="0"/>
        <w:adjustRightInd w:val="0"/>
        <w:spacing w:line="240" w:lineRule="auto"/>
        <w:rPr>
          <w:rStyle w:val="Hyperlink"/>
        </w:rPr>
      </w:pPr>
      <w:r>
        <w:rPr>
          <w:rFonts w:ascii="Arial" w:hAnsi="Arial" w:cs="Arial"/>
          <w:color w:val="000000"/>
        </w:rPr>
        <w:t>The use of herbicides/pesticides may only be applied if justified</w:t>
      </w:r>
      <w:r>
        <w:rPr>
          <w:rFonts w:ascii="Arial" w:hAnsi="Arial" w:cs="Arial"/>
        </w:rPr>
        <w:t xml:space="preserve"> as part of the </w:t>
      </w:r>
      <w:proofErr w:type="spellStart"/>
      <w:r w:rsidR="00B633DC">
        <w:rPr>
          <w:rFonts w:ascii="Arial" w:hAnsi="Arial" w:cs="Arial"/>
        </w:rPr>
        <w:t>FwNH</w:t>
      </w:r>
      <w:proofErr w:type="spellEnd"/>
      <w:r w:rsidR="00B633DC">
        <w:rPr>
          <w:rFonts w:ascii="Arial" w:hAnsi="Arial" w:cs="Arial"/>
        </w:rPr>
        <w:t xml:space="preserve"> agreement</w:t>
      </w:r>
      <w:r>
        <w:rPr>
          <w:rFonts w:ascii="Arial" w:hAnsi="Arial" w:cs="Arial"/>
        </w:rPr>
        <w:t xml:space="preserve"> and the implementation of Integrated Pest Management (IPM), for the control of noxious weeds or invasive species by spot spraying of an approved herbicide.</w:t>
      </w:r>
      <w:r w:rsidR="00990644" w:rsidRPr="00990644">
        <w:rPr>
          <w:rFonts w:ascii="Arial" w:hAnsi="Arial" w:cs="Arial"/>
        </w:rPr>
        <w:t xml:space="preserve"> For further information on the correct way to use pesticides, please refer to the attached link:</w:t>
      </w:r>
      <w:r w:rsidR="00990644" w:rsidRPr="00990644">
        <w:t xml:space="preserve"> </w:t>
      </w:r>
      <w:hyperlink r:id="rId8" w:history="1">
        <w:r w:rsidR="00990644" w:rsidRPr="00EA62A4">
          <w:rPr>
            <w:rStyle w:val="Hyperlink"/>
            <w:rFonts w:ascii="Arial" w:hAnsi="Arial" w:cs="Arial"/>
          </w:rPr>
          <w:t>https://www.daera-ni.gov.uk/publications/code-practice-using-plant-protection-products</w:t>
        </w:r>
      </w:hyperlink>
    </w:p>
    <w:p w14:paraId="4E3B1C14" w14:textId="77777777" w:rsidR="00990644" w:rsidRDefault="00990644" w:rsidP="0099064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For further information on Health and Safety guidelines, please check the attached link to the Health and Safety Executive NI:</w:t>
      </w:r>
    </w:p>
    <w:p w14:paraId="7DB0C2FB" w14:textId="77777777" w:rsidR="00CC21D8" w:rsidRPr="00CC21D8" w:rsidRDefault="00CC21D8" w:rsidP="00CC21D8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FF0000"/>
          <w:lang w:val="en-US"/>
        </w:rPr>
      </w:pPr>
      <w:hyperlink r:id="rId9" w:history="1">
        <w:r w:rsidRPr="00CC21D8">
          <w:rPr>
            <w:rStyle w:val="Hyperlink"/>
            <w:rFonts w:ascii="Arial" w:hAnsi="Arial" w:cs="Arial"/>
            <w:lang w:val="en-US"/>
          </w:rPr>
          <w:t>https://www.hseni.gov.uk/topics/agriculture</w:t>
        </w:r>
      </w:hyperlink>
    </w:p>
    <w:p w14:paraId="4CB116F0" w14:textId="10545893" w:rsidR="00990644" w:rsidRPr="00B12248" w:rsidRDefault="00990644" w:rsidP="00990644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FF0000"/>
        </w:rPr>
      </w:pPr>
    </w:p>
    <w:sectPr w:rsidR="00990644" w:rsidRPr="00B12248" w:rsidSect="0036635A">
      <w:pgSz w:w="11907" w:h="16839" w:code="9"/>
      <w:pgMar w:top="1440" w:right="1440" w:bottom="1440" w:left="144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6E03C" w14:textId="77777777" w:rsidR="0069559C" w:rsidRDefault="0069559C" w:rsidP="0036635A">
      <w:pPr>
        <w:spacing w:after="0" w:line="240" w:lineRule="auto"/>
      </w:pPr>
      <w:r>
        <w:separator/>
      </w:r>
    </w:p>
  </w:endnote>
  <w:endnote w:type="continuationSeparator" w:id="0">
    <w:p w14:paraId="2E6BE0BE" w14:textId="77777777" w:rsidR="0069559C" w:rsidRDefault="0069559C" w:rsidP="00366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7EB84" w14:textId="77777777" w:rsidR="0069559C" w:rsidRDefault="0069559C" w:rsidP="0036635A">
      <w:pPr>
        <w:spacing w:after="0" w:line="240" w:lineRule="auto"/>
      </w:pPr>
      <w:r>
        <w:separator/>
      </w:r>
    </w:p>
  </w:footnote>
  <w:footnote w:type="continuationSeparator" w:id="0">
    <w:p w14:paraId="7590B1B9" w14:textId="77777777" w:rsidR="0069559C" w:rsidRDefault="0069559C" w:rsidP="00366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343"/>
    <w:multiLevelType w:val="hybridMultilevel"/>
    <w:tmpl w:val="9B188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75245"/>
    <w:multiLevelType w:val="hybridMultilevel"/>
    <w:tmpl w:val="CA60676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97147"/>
    <w:multiLevelType w:val="hybridMultilevel"/>
    <w:tmpl w:val="EBD60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053509">
    <w:abstractNumId w:val="1"/>
  </w:num>
  <w:num w:numId="2" w16cid:durableId="154806487">
    <w:abstractNumId w:val="2"/>
  </w:num>
  <w:num w:numId="3" w16cid:durableId="1736855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Jos+UA3jA/7bqRAFsnXBsbpj2qUdNKNTgwSsiFM2J6lol+iwDzTGfuVmRN7mZQ3+wwvG4oEibrs5jl7eJEtEQ==" w:salt="Ok2uA5kh+C3NkRnqYp8eO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38"/>
    <w:rsid w:val="00002EF1"/>
    <w:rsid w:val="000042C1"/>
    <w:rsid w:val="00011403"/>
    <w:rsid w:val="000213DD"/>
    <w:rsid w:val="00023ABA"/>
    <w:rsid w:val="00030864"/>
    <w:rsid w:val="00034527"/>
    <w:rsid w:val="00036E57"/>
    <w:rsid w:val="00044C5E"/>
    <w:rsid w:val="00066EEF"/>
    <w:rsid w:val="00080004"/>
    <w:rsid w:val="000803E9"/>
    <w:rsid w:val="00082165"/>
    <w:rsid w:val="00092B79"/>
    <w:rsid w:val="00097A06"/>
    <w:rsid w:val="000E3962"/>
    <w:rsid w:val="000F20E7"/>
    <w:rsid w:val="001015DC"/>
    <w:rsid w:val="00104B7F"/>
    <w:rsid w:val="00105149"/>
    <w:rsid w:val="00110559"/>
    <w:rsid w:val="001143DB"/>
    <w:rsid w:val="001153B0"/>
    <w:rsid w:val="00115D64"/>
    <w:rsid w:val="001226A8"/>
    <w:rsid w:val="00134CD1"/>
    <w:rsid w:val="00140A70"/>
    <w:rsid w:val="001465DF"/>
    <w:rsid w:val="001537DB"/>
    <w:rsid w:val="001624DA"/>
    <w:rsid w:val="001738CD"/>
    <w:rsid w:val="001870FB"/>
    <w:rsid w:val="002179F7"/>
    <w:rsid w:val="002258C1"/>
    <w:rsid w:val="00227BD1"/>
    <w:rsid w:val="002632E9"/>
    <w:rsid w:val="00286C5D"/>
    <w:rsid w:val="002955CB"/>
    <w:rsid w:val="002A4877"/>
    <w:rsid w:val="002A4C2C"/>
    <w:rsid w:val="002A58B8"/>
    <w:rsid w:val="002C1240"/>
    <w:rsid w:val="002C76C0"/>
    <w:rsid w:val="002D7429"/>
    <w:rsid w:val="002D78FF"/>
    <w:rsid w:val="002E37B8"/>
    <w:rsid w:val="003117E7"/>
    <w:rsid w:val="0032747C"/>
    <w:rsid w:val="0036635A"/>
    <w:rsid w:val="003869A3"/>
    <w:rsid w:val="003937A9"/>
    <w:rsid w:val="00395D8D"/>
    <w:rsid w:val="00395FE1"/>
    <w:rsid w:val="003A5901"/>
    <w:rsid w:val="003C6F26"/>
    <w:rsid w:val="003D45BD"/>
    <w:rsid w:val="003D6A90"/>
    <w:rsid w:val="003F7AA9"/>
    <w:rsid w:val="00405AA5"/>
    <w:rsid w:val="004109CA"/>
    <w:rsid w:val="00414349"/>
    <w:rsid w:val="0041545A"/>
    <w:rsid w:val="00417873"/>
    <w:rsid w:val="00447235"/>
    <w:rsid w:val="004731A1"/>
    <w:rsid w:val="0048795C"/>
    <w:rsid w:val="0049298B"/>
    <w:rsid w:val="004A1AFF"/>
    <w:rsid w:val="004A2798"/>
    <w:rsid w:val="004C2DD9"/>
    <w:rsid w:val="004C48DD"/>
    <w:rsid w:val="004C7D0D"/>
    <w:rsid w:val="004D0711"/>
    <w:rsid w:val="004E36BD"/>
    <w:rsid w:val="004E76CA"/>
    <w:rsid w:val="004F501D"/>
    <w:rsid w:val="00524FE2"/>
    <w:rsid w:val="0053654C"/>
    <w:rsid w:val="005939DB"/>
    <w:rsid w:val="005A5E0C"/>
    <w:rsid w:val="005B28BC"/>
    <w:rsid w:val="005B29BA"/>
    <w:rsid w:val="005B3C45"/>
    <w:rsid w:val="005C1635"/>
    <w:rsid w:val="005E0F63"/>
    <w:rsid w:val="005E5212"/>
    <w:rsid w:val="00617D0C"/>
    <w:rsid w:val="0062135C"/>
    <w:rsid w:val="00622C48"/>
    <w:rsid w:val="00624C9E"/>
    <w:rsid w:val="00634617"/>
    <w:rsid w:val="0064050D"/>
    <w:rsid w:val="00646A35"/>
    <w:rsid w:val="006553E1"/>
    <w:rsid w:val="00656F22"/>
    <w:rsid w:val="00684A38"/>
    <w:rsid w:val="00685261"/>
    <w:rsid w:val="0069559C"/>
    <w:rsid w:val="006955C9"/>
    <w:rsid w:val="006A00D8"/>
    <w:rsid w:val="006A0791"/>
    <w:rsid w:val="006C6913"/>
    <w:rsid w:val="006C7809"/>
    <w:rsid w:val="006D3F3E"/>
    <w:rsid w:val="00707459"/>
    <w:rsid w:val="00721C86"/>
    <w:rsid w:val="00725A9E"/>
    <w:rsid w:val="00784CE3"/>
    <w:rsid w:val="007A0EC9"/>
    <w:rsid w:val="007C55AB"/>
    <w:rsid w:val="007E0588"/>
    <w:rsid w:val="007F2E76"/>
    <w:rsid w:val="007F67BD"/>
    <w:rsid w:val="008204F6"/>
    <w:rsid w:val="0082156C"/>
    <w:rsid w:val="008248C6"/>
    <w:rsid w:val="008259A7"/>
    <w:rsid w:val="00827072"/>
    <w:rsid w:val="008308B5"/>
    <w:rsid w:val="008377CA"/>
    <w:rsid w:val="00837F4C"/>
    <w:rsid w:val="00861BDB"/>
    <w:rsid w:val="00862935"/>
    <w:rsid w:val="00882946"/>
    <w:rsid w:val="008A1697"/>
    <w:rsid w:val="008A5ED8"/>
    <w:rsid w:val="008C340E"/>
    <w:rsid w:val="008D357A"/>
    <w:rsid w:val="009058D4"/>
    <w:rsid w:val="009158B3"/>
    <w:rsid w:val="00915BA2"/>
    <w:rsid w:val="0092605C"/>
    <w:rsid w:val="009313AC"/>
    <w:rsid w:val="009429EA"/>
    <w:rsid w:val="00943CCB"/>
    <w:rsid w:val="00952B7D"/>
    <w:rsid w:val="00970890"/>
    <w:rsid w:val="00972369"/>
    <w:rsid w:val="00990644"/>
    <w:rsid w:val="00992ED5"/>
    <w:rsid w:val="0099465C"/>
    <w:rsid w:val="009B0DFD"/>
    <w:rsid w:val="009C33DC"/>
    <w:rsid w:val="009C5283"/>
    <w:rsid w:val="009D5C4C"/>
    <w:rsid w:val="009D6B40"/>
    <w:rsid w:val="009E598C"/>
    <w:rsid w:val="009F4BFE"/>
    <w:rsid w:val="00A00332"/>
    <w:rsid w:val="00A0778D"/>
    <w:rsid w:val="00A31CA4"/>
    <w:rsid w:val="00A521FE"/>
    <w:rsid w:val="00A57715"/>
    <w:rsid w:val="00A82E70"/>
    <w:rsid w:val="00A93017"/>
    <w:rsid w:val="00A95883"/>
    <w:rsid w:val="00AB5BBB"/>
    <w:rsid w:val="00AC3D7C"/>
    <w:rsid w:val="00AD6B6F"/>
    <w:rsid w:val="00AF209C"/>
    <w:rsid w:val="00B01D52"/>
    <w:rsid w:val="00B12248"/>
    <w:rsid w:val="00B14992"/>
    <w:rsid w:val="00B171D9"/>
    <w:rsid w:val="00B208DF"/>
    <w:rsid w:val="00B413E0"/>
    <w:rsid w:val="00B42284"/>
    <w:rsid w:val="00B633DC"/>
    <w:rsid w:val="00B73605"/>
    <w:rsid w:val="00B76EC1"/>
    <w:rsid w:val="00B91D49"/>
    <w:rsid w:val="00BA3C88"/>
    <w:rsid w:val="00BB6761"/>
    <w:rsid w:val="00BC2F66"/>
    <w:rsid w:val="00BE3C7D"/>
    <w:rsid w:val="00C02B80"/>
    <w:rsid w:val="00C11338"/>
    <w:rsid w:val="00C22BED"/>
    <w:rsid w:val="00C23B5E"/>
    <w:rsid w:val="00C56B9F"/>
    <w:rsid w:val="00C57F19"/>
    <w:rsid w:val="00C7730A"/>
    <w:rsid w:val="00C828E9"/>
    <w:rsid w:val="00C8678A"/>
    <w:rsid w:val="00C97BDD"/>
    <w:rsid w:val="00CB2630"/>
    <w:rsid w:val="00CC21D8"/>
    <w:rsid w:val="00CD6E2F"/>
    <w:rsid w:val="00D00AC2"/>
    <w:rsid w:val="00D02C0D"/>
    <w:rsid w:val="00D418A0"/>
    <w:rsid w:val="00D61CE4"/>
    <w:rsid w:val="00D71E09"/>
    <w:rsid w:val="00D7641A"/>
    <w:rsid w:val="00D86715"/>
    <w:rsid w:val="00D87938"/>
    <w:rsid w:val="00D9490E"/>
    <w:rsid w:val="00D97A80"/>
    <w:rsid w:val="00DA1747"/>
    <w:rsid w:val="00DB5722"/>
    <w:rsid w:val="00DE3CE9"/>
    <w:rsid w:val="00DE6DDD"/>
    <w:rsid w:val="00DF183F"/>
    <w:rsid w:val="00DF3299"/>
    <w:rsid w:val="00E23415"/>
    <w:rsid w:val="00E756D7"/>
    <w:rsid w:val="00E805DA"/>
    <w:rsid w:val="00E9052E"/>
    <w:rsid w:val="00E92A87"/>
    <w:rsid w:val="00E96282"/>
    <w:rsid w:val="00EA62A4"/>
    <w:rsid w:val="00EA7236"/>
    <w:rsid w:val="00EB23CB"/>
    <w:rsid w:val="00EB3202"/>
    <w:rsid w:val="00EC2ECF"/>
    <w:rsid w:val="00ED1D98"/>
    <w:rsid w:val="00ED282C"/>
    <w:rsid w:val="00EE4EFD"/>
    <w:rsid w:val="00EF3E55"/>
    <w:rsid w:val="00F022E4"/>
    <w:rsid w:val="00F32671"/>
    <w:rsid w:val="00F5270D"/>
    <w:rsid w:val="00F71B4A"/>
    <w:rsid w:val="00F759CD"/>
    <w:rsid w:val="00F91C10"/>
    <w:rsid w:val="00FA6AD4"/>
    <w:rsid w:val="00FF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9D389"/>
  <w15:docId w15:val="{EB6BFDBD-E521-4011-8925-A8368A70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8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11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4EF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B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66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635A"/>
  </w:style>
  <w:style w:type="paragraph" w:styleId="Footer">
    <w:name w:val="footer"/>
    <w:basedOn w:val="Normal"/>
    <w:link w:val="FooterChar"/>
    <w:uiPriority w:val="99"/>
    <w:unhideWhenUsed/>
    <w:rsid w:val="00366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35A"/>
  </w:style>
  <w:style w:type="paragraph" w:styleId="ListParagraph">
    <w:name w:val="List Paragraph"/>
    <w:basedOn w:val="Normal"/>
    <w:uiPriority w:val="34"/>
    <w:qFormat/>
    <w:rsid w:val="00ED1D98"/>
    <w:pPr>
      <w:ind w:left="720"/>
      <w:contextualSpacing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1D98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1D98"/>
    <w:rPr>
      <w:rFonts w:ascii="Times New Roman" w:eastAsia="Times New Roman" w:hAnsi="Times New Roman" w:cs="Times New Roman"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1D98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D1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105149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05149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21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156C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156C"/>
    <w:rPr>
      <w:rFonts w:ascii="Times New Roman" w:eastAsia="Times New Roman" w:hAnsi="Times New Roman" w:cs="Times New Roman"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59CD"/>
    <w:pPr>
      <w:spacing w:after="200"/>
    </w:pPr>
    <w:rPr>
      <w:rFonts w:asciiTheme="minorHAnsi" w:eastAsiaTheme="minorHAnsi" w:hAnsiTheme="minorHAnsi" w:cstheme="minorBidi"/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59C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C21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era-ni.gov.uk/publications/code-practice-using-plant-protection-produc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hseni.gov.uk/topics/agricult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0BF301-4003-4C69-B32E-95AB81A5C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2121</Characters>
  <Application>Microsoft Office Word</Application>
  <DocSecurity>0</DocSecurity>
  <Lines>124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Quinn</dc:creator>
  <cp:keywords/>
  <dc:description/>
  <cp:lastModifiedBy>McHugh, Melanie</cp:lastModifiedBy>
  <cp:revision>4</cp:revision>
  <cp:lastPrinted>2016-06-01T11:28:00Z</cp:lastPrinted>
  <dcterms:created xsi:type="dcterms:W3CDTF">2026-06-25T13:37:00Z</dcterms:created>
  <dcterms:modified xsi:type="dcterms:W3CDTF">2026-06-29T12:50:00Z</dcterms:modified>
</cp:coreProperties>
</file>