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7D4C9" w14:textId="77777777" w:rsidR="006E66DF" w:rsidRDefault="006E66DF"/>
    <w:p w14:paraId="0D3AD84C" w14:textId="46CFF323" w:rsidR="006E66DF" w:rsidRDefault="006E66DF" w:rsidP="006E66DF">
      <w:pPr>
        <w:rPr>
          <w:b/>
        </w:rPr>
      </w:pPr>
      <w:r>
        <w:rPr>
          <w:b/>
        </w:rPr>
        <w:t>DAERA Directed AFBI Research Projects 202</w:t>
      </w:r>
      <w:r w:rsidR="00DD086F">
        <w:rPr>
          <w:b/>
        </w:rPr>
        <w:t>4</w:t>
      </w:r>
    </w:p>
    <w:tbl>
      <w:tblPr>
        <w:tblStyle w:val="TableGrid"/>
        <w:tblW w:w="14058" w:type="dxa"/>
        <w:tblCellSpacing w:w="11" w:type="dxa"/>
        <w:tblLayout w:type="fixed"/>
        <w:tblLook w:val="04A0" w:firstRow="1" w:lastRow="0" w:firstColumn="1" w:lastColumn="0" w:noHBand="0" w:noVBand="1"/>
      </w:tblPr>
      <w:tblGrid>
        <w:gridCol w:w="1162"/>
        <w:gridCol w:w="5867"/>
        <w:gridCol w:w="5517"/>
        <w:gridCol w:w="1512"/>
      </w:tblGrid>
      <w:tr w:rsidR="006E66DF" w14:paraId="5F842975" w14:textId="77777777" w:rsidTr="004B0607">
        <w:trPr>
          <w:tblCellSpacing w:w="11" w:type="dxa"/>
        </w:trPr>
        <w:tc>
          <w:tcPr>
            <w:tcW w:w="1129" w:type="dxa"/>
            <w:hideMark/>
          </w:tcPr>
          <w:p w14:paraId="258894B5" w14:textId="77777777" w:rsidR="006E66DF" w:rsidRDefault="006E66DF">
            <w:r>
              <w:t>Ref No</w:t>
            </w:r>
          </w:p>
        </w:tc>
        <w:tc>
          <w:tcPr>
            <w:tcW w:w="5845" w:type="dxa"/>
            <w:hideMark/>
          </w:tcPr>
          <w:p w14:paraId="03BDB278" w14:textId="77777777" w:rsidR="006E66DF" w:rsidRDefault="006E66DF">
            <w:pPr>
              <w:jc w:val="center"/>
            </w:pPr>
            <w:r>
              <w:t>Title</w:t>
            </w:r>
          </w:p>
        </w:tc>
        <w:tc>
          <w:tcPr>
            <w:tcW w:w="5495" w:type="dxa"/>
            <w:hideMark/>
          </w:tcPr>
          <w:p w14:paraId="1F746519" w14:textId="77777777" w:rsidR="006E66DF" w:rsidRDefault="006E66DF">
            <w:pPr>
              <w:jc w:val="center"/>
            </w:pPr>
            <w:r>
              <w:t>Goals of Project</w:t>
            </w:r>
          </w:p>
        </w:tc>
        <w:tc>
          <w:tcPr>
            <w:tcW w:w="1479" w:type="dxa"/>
            <w:hideMark/>
          </w:tcPr>
          <w:p w14:paraId="4F573474" w14:textId="77777777" w:rsidR="006E66DF" w:rsidRDefault="006E66DF">
            <w:r>
              <w:t>Projected End Date of Project</w:t>
            </w:r>
          </w:p>
        </w:tc>
      </w:tr>
      <w:tr w:rsidR="007E31D8" w14:paraId="2BF73A0C" w14:textId="77777777" w:rsidTr="004B0607">
        <w:trPr>
          <w:tblCellSpacing w:w="11" w:type="dxa"/>
        </w:trPr>
        <w:tc>
          <w:tcPr>
            <w:tcW w:w="1129" w:type="dxa"/>
            <w:tcBorders>
              <w:top w:val="single" w:sz="4" w:space="0" w:color="auto"/>
              <w:left w:val="single" w:sz="4" w:space="0" w:color="auto"/>
              <w:bottom w:val="single" w:sz="4" w:space="0" w:color="auto"/>
              <w:right w:val="single" w:sz="4" w:space="0" w:color="auto"/>
            </w:tcBorders>
            <w:vAlign w:val="center"/>
          </w:tcPr>
          <w:p w14:paraId="6C375175" w14:textId="53D7BFBB" w:rsidR="007E31D8" w:rsidRDefault="007E31D8" w:rsidP="007E31D8">
            <w:pPr>
              <w:spacing w:after="0" w:line="240" w:lineRule="auto"/>
              <w:jc w:val="center"/>
              <w:rPr>
                <w:rFonts w:ascii="Calibri" w:hAnsi="Calibri" w:cs="Calibri"/>
                <w:b/>
                <w:bCs/>
                <w:color w:val="000000"/>
              </w:rPr>
            </w:pPr>
          </w:p>
        </w:tc>
        <w:tc>
          <w:tcPr>
            <w:tcW w:w="5845" w:type="dxa"/>
          </w:tcPr>
          <w:p w14:paraId="36B16048" w14:textId="184F8678" w:rsidR="0026588C" w:rsidRPr="0026588C" w:rsidRDefault="0026588C" w:rsidP="0026588C">
            <w:pPr>
              <w:spacing w:after="0" w:line="240" w:lineRule="auto"/>
              <w:rPr>
                <w:rFonts w:ascii="Calibri" w:hAnsi="Calibri" w:cs="Calibri"/>
                <w:color w:val="000000"/>
              </w:rPr>
            </w:pPr>
          </w:p>
        </w:tc>
        <w:tc>
          <w:tcPr>
            <w:tcW w:w="5495" w:type="dxa"/>
          </w:tcPr>
          <w:p w14:paraId="4DC78B90" w14:textId="4D9623C6" w:rsidR="007E31D8" w:rsidRPr="008A4CC4" w:rsidRDefault="007E31D8" w:rsidP="00382180">
            <w:pPr>
              <w:rPr>
                <w:rFonts w:cstheme="minorHAnsi"/>
              </w:rPr>
            </w:pPr>
          </w:p>
        </w:tc>
        <w:tc>
          <w:tcPr>
            <w:tcW w:w="1479" w:type="dxa"/>
          </w:tcPr>
          <w:p w14:paraId="7B41F23E" w14:textId="13E73787" w:rsidR="007E31D8" w:rsidRPr="0026588C" w:rsidRDefault="007E31D8" w:rsidP="007E31D8"/>
        </w:tc>
      </w:tr>
      <w:tr w:rsidR="00DD086F" w14:paraId="0CAC1700" w14:textId="77777777" w:rsidTr="00B528E7">
        <w:trPr>
          <w:tblCellSpacing w:w="11" w:type="dxa"/>
        </w:trPr>
        <w:tc>
          <w:tcPr>
            <w:tcW w:w="1129" w:type="dxa"/>
            <w:tcBorders>
              <w:top w:val="nil"/>
              <w:left w:val="single" w:sz="4" w:space="0" w:color="auto"/>
              <w:bottom w:val="single" w:sz="4" w:space="0" w:color="auto"/>
              <w:right w:val="single" w:sz="4" w:space="0" w:color="auto"/>
            </w:tcBorders>
          </w:tcPr>
          <w:p w14:paraId="3C8686BE" w14:textId="24DED732" w:rsidR="00DD086F" w:rsidRDefault="00DD086F" w:rsidP="00DD086F">
            <w:pPr>
              <w:jc w:val="center"/>
              <w:rPr>
                <w:rFonts w:ascii="Calibri" w:hAnsi="Calibri" w:cs="Calibri"/>
                <w:b/>
                <w:bCs/>
                <w:color w:val="000000"/>
              </w:rPr>
            </w:pPr>
            <w:r w:rsidRPr="008F323E">
              <w:rPr>
                <w:rFonts w:ascii="Calibri" w:hAnsi="Calibri" w:cs="Calibri"/>
                <w:b/>
                <w:bCs/>
                <w:color w:val="000000"/>
              </w:rPr>
              <w:t>24/T</w:t>
            </w:r>
            <w:r w:rsidR="00B8280E">
              <w:rPr>
                <w:rFonts w:ascii="Calibri" w:hAnsi="Calibri" w:cs="Calibri"/>
                <w:b/>
                <w:bCs/>
                <w:color w:val="000000"/>
              </w:rPr>
              <w:t>1</w:t>
            </w:r>
            <w:r w:rsidRPr="008F323E">
              <w:rPr>
                <w:rFonts w:ascii="Calibri" w:hAnsi="Calibri" w:cs="Calibri"/>
                <w:b/>
                <w:bCs/>
                <w:color w:val="000000"/>
              </w:rPr>
              <w:t>/0</w:t>
            </w:r>
            <w:r>
              <w:rPr>
                <w:rFonts w:ascii="Calibri" w:hAnsi="Calibri" w:cs="Calibri"/>
                <w:b/>
                <w:bCs/>
                <w:color w:val="000000"/>
              </w:rPr>
              <w:t>2</w:t>
            </w:r>
          </w:p>
        </w:tc>
        <w:tc>
          <w:tcPr>
            <w:tcW w:w="5845" w:type="dxa"/>
          </w:tcPr>
          <w:p w14:paraId="28D28175" w14:textId="77777777" w:rsidR="00B8280E" w:rsidRDefault="00B8280E" w:rsidP="00B8280E">
            <w:pPr>
              <w:spacing w:after="0" w:line="240" w:lineRule="auto"/>
              <w:rPr>
                <w:rFonts w:ascii="Calibri" w:hAnsi="Calibri" w:cs="Calibri"/>
                <w:color w:val="000000"/>
              </w:rPr>
            </w:pPr>
            <w:r>
              <w:rPr>
                <w:rFonts w:ascii="Calibri" w:hAnsi="Calibri" w:cs="Calibri"/>
                <w:color w:val="000000"/>
              </w:rPr>
              <w:t>Understanding the risks associated with arthropod vectors to livestock health</w:t>
            </w:r>
          </w:p>
          <w:p w14:paraId="0FEC0669" w14:textId="386E9B09" w:rsidR="00DD086F" w:rsidRPr="00B8280E" w:rsidRDefault="00DD086F" w:rsidP="00B8280E">
            <w:pPr>
              <w:spacing w:after="0" w:line="240" w:lineRule="auto"/>
              <w:rPr>
                <w:rFonts w:ascii="Calibri" w:hAnsi="Calibri" w:cs="Calibri"/>
                <w:color w:val="000000"/>
              </w:rPr>
            </w:pPr>
          </w:p>
        </w:tc>
        <w:tc>
          <w:tcPr>
            <w:tcW w:w="5495" w:type="dxa"/>
          </w:tcPr>
          <w:p w14:paraId="17371B5E" w14:textId="77777777" w:rsidR="008D0EF1" w:rsidRPr="008D0EF1" w:rsidRDefault="008D0EF1" w:rsidP="008D0EF1">
            <w:pPr>
              <w:spacing w:after="0" w:line="240" w:lineRule="auto"/>
              <w:jc w:val="both"/>
              <w:rPr>
                <w:rFonts w:eastAsia="Calibri" w:cstheme="minorHAnsi"/>
              </w:rPr>
            </w:pPr>
            <w:r w:rsidRPr="008D0EF1">
              <w:rPr>
                <w:rFonts w:eastAsia="Calibri" w:cstheme="minorHAnsi"/>
              </w:rPr>
              <w:t>This project will involve monitoring for Culicoides biting midges, mosquitoes and horse flies (Tabanidae), using light and flight traps. This will determine the vector-active /-low period for Culicoides and provide information on the prevalence and seasonality of mosquitoes and tabanids. Ticks will also be collected from appropriate, selected sites.</w:t>
            </w:r>
          </w:p>
          <w:p w14:paraId="38219135" w14:textId="77777777" w:rsidR="008D0EF1" w:rsidRPr="008D0EF1" w:rsidRDefault="008D0EF1" w:rsidP="008D0EF1">
            <w:pPr>
              <w:spacing w:after="0" w:line="240" w:lineRule="auto"/>
              <w:jc w:val="both"/>
              <w:rPr>
                <w:rFonts w:eastAsia="Calibri" w:cstheme="minorHAnsi"/>
              </w:rPr>
            </w:pPr>
          </w:p>
          <w:p w14:paraId="48FCE1E2" w14:textId="26454360" w:rsidR="008D0EF1" w:rsidRPr="008D0EF1" w:rsidRDefault="008D0EF1" w:rsidP="008D0EF1">
            <w:pPr>
              <w:spacing w:after="0" w:line="240" w:lineRule="auto"/>
              <w:jc w:val="both"/>
              <w:rPr>
                <w:rFonts w:eastAsia="Calibri" w:cstheme="minorHAnsi"/>
              </w:rPr>
            </w:pPr>
            <w:r w:rsidRPr="008D0EF1">
              <w:rPr>
                <w:rFonts w:eastAsia="Calibri" w:cstheme="minorHAnsi"/>
              </w:rPr>
              <w:t>determine management options for vectors using repellents or insecticides, following on from published AFBI papers.</w:t>
            </w:r>
          </w:p>
          <w:p w14:paraId="6CBEA662" w14:textId="0CB54AB4" w:rsidR="00DD086F" w:rsidRPr="008A4CC4" w:rsidRDefault="00DD086F" w:rsidP="00DD086F">
            <w:pPr>
              <w:spacing w:after="0" w:line="240" w:lineRule="auto"/>
              <w:jc w:val="both"/>
              <w:rPr>
                <w:rFonts w:eastAsia="Calibri" w:cstheme="minorHAnsi"/>
              </w:rPr>
            </w:pPr>
          </w:p>
        </w:tc>
        <w:tc>
          <w:tcPr>
            <w:tcW w:w="1479" w:type="dxa"/>
          </w:tcPr>
          <w:p w14:paraId="3160DC00" w14:textId="77777777" w:rsidR="00B8280E" w:rsidRDefault="00B8280E" w:rsidP="00B8280E">
            <w:pPr>
              <w:spacing w:after="0" w:line="240" w:lineRule="auto"/>
              <w:rPr>
                <w:rFonts w:ascii="Calibri" w:hAnsi="Calibri" w:cs="Calibri"/>
                <w:color w:val="000000"/>
              </w:rPr>
            </w:pPr>
            <w:r>
              <w:rPr>
                <w:rFonts w:ascii="Calibri" w:hAnsi="Calibri" w:cs="Calibri"/>
                <w:color w:val="000000"/>
              </w:rPr>
              <w:t>31/03/2028</w:t>
            </w:r>
          </w:p>
          <w:p w14:paraId="6901FF4D" w14:textId="4CAC6541" w:rsidR="00DD086F" w:rsidRPr="007D03EB" w:rsidRDefault="00DD086F" w:rsidP="00DD086F"/>
        </w:tc>
      </w:tr>
      <w:tr w:rsidR="00DD086F" w14:paraId="19FC9EAC" w14:textId="77777777" w:rsidTr="00B528E7">
        <w:trPr>
          <w:tblCellSpacing w:w="11" w:type="dxa"/>
        </w:trPr>
        <w:tc>
          <w:tcPr>
            <w:tcW w:w="1129" w:type="dxa"/>
            <w:tcBorders>
              <w:top w:val="nil"/>
              <w:left w:val="single" w:sz="4" w:space="0" w:color="auto"/>
              <w:bottom w:val="single" w:sz="4" w:space="0" w:color="auto"/>
              <w:right w:val="single" w:sz="4" w:space="0" w:color="auto"/>
            </w:tcBorders>
          </w:tcPr>
          <w:p w14:paraId="0760D3F0" w14:textId="51B23E67" w:rsidR="00DD086F" w:rsidRDefault="00DD086F" w:rsidP="00DD086F">
            <w:pPr>
              <w:jc w:val="center"/>
              <w:rPr>
                <w:rFonts w:ascii="Calibri" w:hAnsi="Calibri" w:cs="Calibri"/>
                <w:b/>
                <w:bCs/>
                <w:color w:val="000000"/>
              </w:rPr>
            </w:pPr>
            <w:r w:rsidRPr="008F323E">
              <w:rPr>
                <w:rFonts w:ascii="Calibri" w:hAnsi="Calibri" w:cs="Calibri"/>
                <w:b/>
                <w:bCs/>
                <w:color w:val="000000"/>
              </w:rPr>
              <w:t>24/T</w:t>
            </w:r>
            <w:r w:rsidR="00B8280E">
              <w:rPr>
                <w:rFonts w:ascii="Calibri" w:hAnsi="Calibri" w:cs="Calibri"/>
                <w:b/>
                <w:bCs/>
                <w:color w:val="000000"/>
              </w:rPr>
              <w:t>1</w:t>
            </w:r>
            <w:r w:rsidRPr="008F323E">
              <w:rPr>
                <w:rFonts w:ascii="Calibri" w:hAnsi="Calibri" w:cs="Calibri"/>
                <w:b/>
                <w:bCs/>
                <w:color w:val="000000"/>
              </w:rPr>
              <w:t>/0</w:t>
            </w:r>
            <w:r>
              <w:rPr>
                <w:rFonts w:ascii="Calibri" w:hAnsi="Calibri" w:cs="Calibri"/>
                <w:b/>
                <w:bCs/>
                <w:color w:val="000000"/>
              </w:rPr>
              <w:t>4</w:t>
            </w:r>
          </w:p>
        </w:tc>
        <w:tc>
          <w:tcPr>
            <w:tcW w:w="5845" w:type="dxa"/>
          </w:tcPr>
          <w:p w14:paraId="3993011A" w14:textId="77777777" w:rsidR="00B8280E" w:rsidRDefault="00B8280E" w:rsidP="00B8280E">
            <w:pPr>
              <w:spacing w:after="0" w:line="240" w:lineRule="auto"/>
              <w:rPr>
                <w:rFonts w:ascii="Calibri" w:hAnsi="Calibri" w:cs="Calibri"/>
                <w:color w:val="000000"/>
              </w:rPr>
            </w:pPr>
            <w:r>
              <w:rPr>
                <w:rFonts w:ascii="Calibri" w:hAnsi="Calibri" w:cs="Calibri"/>
                <w:color w:val="000000"/>
              </w:rPr>
              <w:t xml:space="preserve">Policy Development and Impact Evaluation of Climate Change Actions </w:t>
            </w:r>
          </w:p>
          <w:p w14:paraId="28AF5171" w14:textId="4E794D61" w:rsidR="00DD086F" w:rsidRPr="00B8280E" w:rsidRDefault="00DD086F" w:rsidP="00B8280E">
            <w:pPr>
              <w:spacing w:after="0" w:line="240" w:lineRule="auto"/>
              <w:rPr>
                <w:rFonts w:ascii="Calibri" w:hAnsi="Calibri" w:cs="Calibri"/>
                <w:color w:val="000000"/>
              </w:rPr>
            </w:pPr>
          </w:p>
        </w:tc>
        <w:tc>
          <w:tcPr>
            <w:tcW w:w="5495" w:type="dxa"/>
          </w:tcPr>
          <w:p w14:paraId="48E6403B" w14:textId="7A81F69D" w:rsidR="00BE43BA" w:rsidRDefault="00BE43BA" w:rsidP="00BE43BA">
            <w:r>
              <w:t xml:space="preserve">Climate change is likely to affect the economy, human society and other aspects of the natural environment. While economic activity and human response to climate change will also affect the environment and climate change. These interactions between climate change, economy and environment have formed the basis for this analysis. This study will be based on understanding these interactions in the NI context in order to develop a quantitative macro-economic modelling system to </w:t>
            </w:r>
            <w:r>
              <w:lastRenderedPageBreak/>
              <w:t>estimate the impact of a range of policies and proposals being considered within the draft Climate Action Plan.</w:t>
            </w:r>
          </w:p>
          <w:p w14:paraId="569FB350" w14:textId="65747CAB" w:rsidR="00DD086F" w:rsidRPr="001830C9" w:rsidRDefault="00DD086F" w:rsidP="00DD086F"/>
        </w:tc>
        <w:tc>
          <w:tcPr>
            <w:tcW w:w="1479" w:type="dxa"/>
          </w:tcPr>
          <w:p w14:paraId="54F0154C" w14:textId="77777777" w:rsidR="00B8280E" w:rsidRDefault="00B8280E" w:rsidP="00B8280E">
            <w:pPr>
              <w:spacing w:after="0" w:line="240" w:lineRule="auto"/>
              <w:rPr>
                <w:rFonts w:ascii="Calibri" w:hAnsi="Calibri" w:cs="Calibri"/>
                <w:color w:val="000000"/>
              </w:rPr>
            </w:pPr>
            <w:r>
              <w:rPr>
                <w:rFonts w:ascii="Calibri" w:hAnsi="Calibri" w:cs="Calibri"/>
                <w:color w:val="000000"/>
              </w:rPr>
              <w:lastRenderedPageBreak/>
              <w:t>31/03/2028</w:t>
            </w:r>
          </w:p>
          <w:p w14:paraId="47AEDA61" w14:textId="5474EFE6" w:rsidR="00DD086F" w:rsidRDefault="00DD086F" w:rsidP="00DD086F"/>
        </w:tc>
      </w:tr>
      <w:tr w:rsidR="0026588C" w14:paraId="0702EC62" w14:textId="77777777" w:rsidTr="004B0607">
        <w:trPr>
          <w:tblCellSpacing w:w="11" w:type="dxa"/>
        </w:trPr>
        <w:tc>
          <w:tcPr>
            <w:tcW w:w="1129" w:type="dxa"/>
            <w:tcBorders>
              <w:top w:val="nil"/>
              <w:left w:val="single" w:sz="4" w:space="0" w:color="auto"/>
              <w:bottom w:val="single" w:sz="4" w:space="0" w:color="auto"/>
              <w:right w:val="single" w:sz="4" w:space="0" w:color="auto"/>
            </w:tcBorders>
            <w:vAlign w:val="center"/>
          </w:tcPr>
          <w:p w14:paraId="456C43ED" w14:textId="2983BF44" w:rsidR="0026588C" w:rsidRDefault="00DD086F" w:rsidP="007D7FF7">
            <w:pPr>
              <w:rPr>
                <w:rFonts w:ascii="Calibri" w:hAnsi="Calibri" w:cs="Calibri"/>
                <w:b/>
                <w:bCs/>
                <w:color w:val="000000"/>
              </w:rPr>
            </w:pPr>
            <w:r>
              <w:rPr>
                <w:rFonts w:ascii="Calibri" w:hAnsi="Calibri" w:cs="Calibri"/>
                <w:b/>
                <w:bCs/>
                <w:color w:val="000000"/>
              </w:rPr>
              <w:t>24/T</w:t>
            </w:r>
            <w:r w:rsidR="00B8280E">
              <w:rPr>
                <w:rFonts w:ascii="Calibri" w:hAnsi="Calibri" w:cs="Calibri"/>
                <w:b/>
                <w:bCs/>
                <w:color w:val="000000"/>
              </w:rPr>
              <w:t>1</w:t>
            </w:r>
            <w:r>
              <w:rPr>
                <w:rFonts w:ascii="Calibri" w:hAnsi="Calibri" w:cs="Calibri"/>
                <w:b/>
                <w:bCs/>
                <w:color w:val="000000"/>
              </w:rPr>
              <w:t>/05</w:t>
            </w:r>
          </w:p>
        </w:tc>
        <w:tc>
          <w:tcPr>
            <w:tcW w:w="5845" w:type="dxa"/>
          </w:tcPr>
          <w:p w14:paraId="1E0109CE" w14:textId="77777777" w:rsidR="00B8280E" w:rsidRDefault="00B8280E" w:rsidP="00B8280E">
            <w:pPr>
              <w:spacing w:after="0" w:line="240" w:lineRule="auto"/>
              <w:rPr>
                <w:rFonts w:ascii="Calibri" w:hAnsi="Calibri" w:cs="Calibri"/>
                <w:color w:val="000000"/>
              </w:rPr>
            </w:pPr>
            <w:r>
              <w:rPr>
                <w:rFonts w:ascii="Calibri" w:hAnsi="Calibri" w:cs="Calibri"/>
                <w:color w:val="000000"/>
              </w:rPr>
              <w:t>Improved techniques for the surveillance of plant pests</w:t>
            </w:r>
          </w:p>
          <w:p w14:paraId="6576BCCD" w14:textId="72E01617" w:rsidR="0026588C" w:rsidRPr="00B8280E" w:rsidRDefault="0026588C" w:rsidP="00B8280E">
            <w:pPr>
              <w:spacing w:after="0" w:line="240" w:lineRule="auto"/>
              <w:rPr>
                <w:rFonts w:ascii="Calibri" w:hAnsi="Calibri" w:cs="Calibri"/>
                <w:color w:val="000000"/>
              </w:rPr>
            </w:pPr>
          </w:p>
        </w:tc>
        <w:tc>
          <w:tcPr>
            <w:tcW w:w="5495" w:type="dxa"/>
          </w:tcPr>
          <w:p w14:paraId="26594B03" w14:textId="572D0A09" w:rsidR="00BE43BA" w:rsidRDefault="00BE43BA" w:rsidP="00BE43BA">
            <w:r>
              <w:t>The overall objectives for the project are to monitor in detail (to species level) several groups of pests relevant to plant health, improve effectiveness of monitoring techniques for plant health pests, and to look at changes in indigenous/established populations and their driving forces.</w:t>
            </w:r>
          </w:p>
          <w:p w14:paraId="64410CB8" w14:textId="75E6D781" w:rsidR="00BE43BA" w:rsidRDefault="00BE43BA" w:rsidP="00BE43BA">
            <w:r>
              <w:t xml:space="preserve">Specific objectives for the various work packages are detailed below: </w:t>
            </w:r>
          </w:p>
          <w:p w14:paraId="2D3C4BAC" w14:textId="33E660B5" w:rsidR="00BE43BA" w:rsidRDefault="00BE43BA" w:rsidP="00BE43BA">
            <w:r>
              <w:t>WP1 – improved methods for forest insect surveillance.</w:t>
            </w:r>
          </w:p>
          <w:p w14:paraId="7D2FE3D1" w14:textId="2818C883" w:rsidR="00BE43BA" w:rsidRDefault="00BE43BA" w:rsidP="00BE43BA">
            <w:r>
              <w:t>1(a) Trap types, lure types, trap positioning and timing of trap and sample collection all play an important role in the efficient detection of insect pests. Monitoring peak catch times over several years for target groups will confirm the correct timing of trap placement..</w:t>
            </w:r>
          </w:p>
          <w:p w14:paraId="1735FF48" w14:textId="50845235" w:rsidR="0026588C" w:rsidRPr="002044E4" w:rsidRDefault="0026588C" w:rsidP="007D7FF7"/>
        </w:tc>
        <w:tc>
          <w:tcPr>
            <w:tcW w:w="1479" w:type="dxa"/>
          </w:tcPr>
          <w:p w14:paraId="0D8F3BD6" w14:textId="21D50D8B" w:rsidR="0026588C" w:rsidRDefault="0026588C" w:rsidP="0026588C">
            <w:pPr>
              <w:spacing w:after="0" w:line="240" w:lineRule="auto"/>
              <w:rPr>
                <w:rFonts w:ascii="Calibri" w:hAnsi="Calibri" w:cs="Calibri"/>
                <w:color w:val="000000"/>
              </w:rPr>
            </w:pPr>
          </w:p>
          <w:p w14:paraId="00EFB436" w14:textId="77777777" w:rsidR="00B8280E" w:rsidRDefault="00B8280E" w:rsidP="00B8280E">
            <w:pPr>
              <w:spacing w:after="0" w:line="240" w:lineRule="auto"/>
              <w:rPr>
                <w:rFonts w:ascii="Calibri" w:hAnsi="Calibri" w:cs="Calibri"/>
                <w:color w:val="000000"/>
              </w:rPr>
            </w:pPr>
            <w:r>
              <w:rPr>
                <w:rFonts w:ascii="Calibri" w:hAnsi="Calibri" w:cs="Calibri"/>
                <w:color w:val="000000"/>
              </w:rPr>
              <w:t>31/03/2028</w:t>
            </w:r>
          </w:p>
          <w:p w14:paraId="4AF72994" w14:textId="77777777" w:rsidR="0026588C" w:rsidRDefault="0026588C" w:rsidP="0026588C">
            <w:pPr>
              <w:rPr>
                <w:b/>
              </w:rPr>
            </w:pPr>
          </w:p>
        </w:tc>
      </w:tr>
      <w:tr w:rsidR="00DD086F" w14:paraId="647B142E" w14:textId="77777777" w:rsidTr="004B0607">
        <w:trPr>
          <w:tblCellSpacing w:w="11" w:type="dxa"/>
        </w:trPr>
        <w:tc>
          <w:tcPr>
            <w:tcW w:w="1129" w:type="dxa"/>
            <w:tcBorders>
              <w:top w:val="nil"/>
              <w:left w:val="single" w:sz="4" w:space="0" w:color="auto"/>
              <w:bottom w:val="single" w:sz="4" w:space="0" w:color="auto"/>
              <w:right w:val="single" w:sz="4" w:space="0" w:color="auto"/>
            </w:tcBorders>
            <w:vAlign w:val="center"/>
          </w:tcPr>
          <w:p w14:paraId="08AD19CE" w14:textId="393718C6" w:rsidR="00DD086F" w:rsidRDefault="00DD086F" w:rsidP="0026588C">
            <w:pPr>
              <w:jc w:val="center"/>
              <w:rPr>
                <w:rFonts w:ascii="Calibri" w:hAnsi="Calibri" w:cs="Calibri"/>
                <w:b/>
                <w:bCs/>
                <w:color w:val="000000"/>
              </w:rPr>
            </w:pPr>
            <w:r>
              <w:rPr>
                <w:rFonts w:ascii="Calibri" w:hAnsi="Calibri" w:cs="Calibri"/>
                <w:b/>
                <w:bCs/>
                <w:color w:val="000000"/>
              </w:rPr>
              <w:t>24/T</w:t>
            </w:r>
            <w:r w:rsidR="00B8280E">
              <w:rPr>
                <w:rFonts w:ascii="Calibri" w:hAnsi="Calibri" w:cs="Calibri"/>
                <w:b/>
                <w:bCs/>
                <w:color w:val="000000"/>
              </w:rPr>
              <w:t>1</w:t>
            </w:r>
            <w:r>
              <w:rPr>
                <w:rFonts w:ascii="Calibri" w:hAnsi="Calibri" w:cs="Calibri"/>
                <w:b/>
                <w:bCs/>
                <w:color w:val="000000"/>
              </w:rPr>
              <w:t>/06</w:t>
            </w:r>
          </w:p>
        </w:tc>
        <w:tc>
          <w:tcPr>
            <w:tcW w:w="5845" w:type="dxa"/>
            <w:tcBorders>
              <w:top w:val="single" w:sz="4" w:space="0" w:color="auto"/>
              <w:left w:val="single" w:sz="4" w:space="0" w:color="auto"/>
              <w:bottom w:val="single" w:sz="4" w:space="0" w:color="auto"/>
              <w:right w:val="single" w:sz="4" w:space="0" w:color="auto"/>
            </w:tcBorders>
          </w:tcPr>
          <w:p w14:paraId="33556AAB" w14:textId="77777777" w:rsidR="00B8280E" w:rsidRDefault="00B8280E" w:rsidP="00B8280E">
            <w:pPr>
              <w:spacing w:after="0" w:line="240" w:lineRule="auto"/>
              <w:rPr>
                <w:rFonts w:ascii="Calibri" w:hAnsi="Calibri" w:cs="Calibri"/>
                <w:color w:val="000000"/>
              </w:rPr>
            </w:pPr>
            <w:r>
              <w:rPr>
                <w:rFonts w:ascii="Calibri" w:hAnsi="Calibri" w:cs="Calibri"/>
                <w:color w:val="000000"/>
              </w:rPr>
              <w:t>Crops for change: Scenario modelling of novel cropping for climate change adaptation?</w:t>
            </w:r>
          </w:p>
          <w:p w14:paraId="73C3AECD" w14:textId="77777777" w:rsidR="00DD086F" w:rsidRDefault="00DD086F" w:rsidP="0026588C">
            <w:pPr>
              <w:spacing w:after="0" w:line="240" w:lineRule="auto"/>
              <w:rPr>
                <w:rFonts w:ascii="Calibri" w:hAnsi="Calibri" w:cs="Calibri"/>
                <w:color w:val="000000"/>
              </w:rPr>
            </w:pPr>
          </w:p>
        </w:tc>
        <w:tc>
          <w:tcPr>
            <w:tcW w:w="5495" w:type="dxa"/>
          </w:tcPr>
          <w:p w14:paraId="2B787C28" w14:textId="77777777" w:rsidR="007D7FF7" w:rsidRDefault="00F96321" w:rsidP="00F96321">
            <w:r>
              <w:t xml:space="preserve">The impact of humanity on the planet has never been </w:t>
            </w:r>
            <w:r w:rsidR="007D7FF7">
              <w:t>greater,</w:t>
            </w:r>
            <w:r>
              <w:t xml:space="preserve"> and innovative solutions are essential to mitigate against a wide range of threats. Producing more food increases demands for land, water, feed, fertilisers, and other resources. We need to increase food productivity </w:t>
            </w:r>
            <w:r>
              <w:lastRenderedPageBreak/>
              <w:t>whilst increasing efficiency and being mindful of the need to achieve the Net Zero emission reduction targets.</w:t>
            </w:r>
          </w:p>
          <w:p w14:paraId="6A0D22F2" w14:textId="77777777" w:rsidR="007D7FF7" w:rsidRDefault="00F96321" w:rsidP="007D7FF7">
            <w:r>
              <w:t>In Northern Ireland, the livestock sector dominates agriculture, with 79% of farmed area being under grass. Whilst livestock productivity forms an essential source of income for NI agriculture, there is considerable potential for utilising some of the farmed area under grass for new, novel crops. Introducing alternatives to conventional grassland to NI landowners has the potential to provide more diverse and resilient farming systems, whilst providing some mitigation against the environmental impact of the intensive livestock system.</w:t>
            </w:r>
          </w:p>
          <w:p w14:paraId="3515ECCE" w14:textId="105FEFDE" w:rsidR="00DD086F" w:rsidRPr="002044E4" w:rsidRDefault="00F96321" w:rsidP="007D7FF7">
            <w:r>
              <w:t>The project will identify alternative food systems applicable for adoption in NI in the short, medium and long term to support the economy and food security.</w:t>
            </w:r>
          </w:p>
        </w:tc>
        <w:tc>
          <w:tcPr>
            <w:tcW w:w="1479" w:type="dxa"/>
            <w:tcBorders>
              <w:top w:val="single" w:sz="4" w:space="0" w:color="auto"/>
              <w:left w:val="single" w:sz="4" w:space="0" w:color="auto"/>
              <w:bottom w:val="single" w:sz="4" w:space="0" w:color="auto"/>
              <w:right w:val="single" w:sz="4" w:space="0" w:color="auto"/>
            </w:tcBorders>
            <w:vAlign w:val="center"/>
          </w:tcPr>
          <w:p w14:paraId="295CD945" w14:textId="77777777" w:rsidR="00B8280E" w:rsidRDefault="00B8280E" w:rsidP="00B8280E">
            <w:pPr>
              <w:spacing w:after="0" w:line="240" w:lineRule="auto"/>
              <w:jc w:val="center"/>
              <w:rPr>
                <w:rFonts w:ascii="Calibri" w:hAnsi="Calibri" w:cs="Calibri"/>
                <w:color w:val="000000"/>
              </w:rPr>
            </w:pPr>
            <w:r>
              <w:rPr>
                <w:rFonts w:ascii="Calibri" w:hAnsi="Calibri" w:cs="Calibri"/>
                <w:color w:val="000000"/>
              </w:rPr>
              <w:lastRenderedPageBreak/>
              <w:t>31/05/2027</w:t>
            </w:r>
          </w:p>
          <w:p w14:paraId="252A57E8" w14:textId="77777777" w:rsidR="00DD086F" w:rsidRDefault="00DD086F" w:rsidP="0026588C">
            <w:pPr>
              <w:spacing w:after="0" w:line="240" w:lineRule="auto"/>
              <w:jc w:val="center"/>
              <w:rPr>
                <w:rFonts w:ascii="Calibri" w:hAnsi="Calibri" w:cs="Calibri"/>
                <w:color w:val="000000"/>
              </w:rPr>
            </w:pPr>
          </w:p>
        </w:tc>
      </w:tr>
      <w:tr w:rsidR="0026588C" w14:paraId="53FA0BC8" w14:textId="77777777" w:rsidTr="004B0607">
        <w:trPr>
          <w:tblCellSpacing w:w="11" w:type="dxa"/>
        </w:trPr>
        <w:tc>
          <w:tcPr>
            <w:tcW w:w="1129" w:type="dxa"/>
            <w:tcBorders>
              <w:top w:val="nil"/>
              <w:left w:val="single" w:sz="4" w:space="0" w:color="auto"/>
              <w:bottom w:val="single" w:sz="4" w:space="0" w:color="auto"/>
              <w:right w:val="single" w:sz="4" w:space="0" w:color="auto"/>
            </w:tcBorders>
            <w:vAlign w:val="center"/>
          </w:tcPr>
          <w:p w14:paraId="1633285F" w14:textId="0C56CD87" w:rsidR="0026588C" w:rsidRDefault="0026588C" w:rsidP="0026588C">
            <w:pPr>
              <w:jc w:val="center"/>
              <w:rPr>
                <w:rFonts w:ascii="Calibri" w:hAnsi="Calibri" w:cs="Calibri"/>
                <w:b/>
                <w:bCs/>
                <w:color w:val="000000"/>
              </w:rPr>
            </w:pPr>
          </w:p>
        </w:tc>
        <w:tc>
          <w:tcPr>
            <w:tcW w:w="5845" w:type="dxa"/>
            <w:tcBorders>
              <w:top w:val="single" w:sz="4" w:space="0" w:color="auto"/>
              <w:left w:val="single" w:sz="4" w:space="0" w:color="auto"/>
              <w:bottom w:val="single" w:sz="4" w:space="0" w:color="auto"/>
              <w:right w:val="single" w:sz="4" w:space="0" w:color="auto"/>
            </w:tcBorders>
          </w:tcPr>
          <w:p w14:paraId="43A083E7" w14:textId="75FD2A90" w:rsidR="0026588C" w:rsidRDefault="0026588C" w:rsidP="0026588C">
            <w:pPr>
              <w:spacing w:after="0" w:line="240" w:lineRule="auto"/>
              <w:rPr>
                <w:rFonts w:ascii="Calibri" w:hAnsi="Calibri" w:cs="Calibri"/>
                <w:color w:val="000000"/>
              </w:rPr>
            </w:pPr>
          </w:p>
        </w:tc>
        <w:tc>
          <w:tcPr>
            <w:tcW w:w="5495" w:type="dxa"/>
          </w:tcPr>
          <w:p w14:paraId="7FF10204" w14:textId="760697DF" w:rsidR="0026588C" w:rsidRPr="002044E4" w:rsidRDefault="0026588C" w:rsidP="002044E4"/>
        </w:tc>
        <w:tc>
          <w:tcPr>
            <w:tcW w:w="1479" w:type="dxa"/>
            <w:tcBorders>
              <w:top w:val="single" w:sz="4" w:space="0" w:color="auto"/>
              <w:left w:val="single" w:sz="4" w:space="0" w:color="auto"/>
              <w:bottom w:val="single" w:sz="4" w:space="0" w:color="auto"/>
              <w:right w:val="single" w:sz="4" w:space="0" w:color="auto"/>
            </w:tcBorders>
            <w:vAlign w:val="center"/>
          </w:tcPr>
          <w:p w14:paraId="5BE75022" w14:textId="6460F0E6" w:rsidR="0026588C" w:rsidRDefault="0026588C" w:rsidP="0026588C">
            <w:pPr>
              <w:spacing w:after="0" w:line="240" w:lineRule="auto"/>
              <w:jc w:val="center"/>
              <w:rPr>
                <w:rFonts w:ascii="Calibri" w:hAnsi="Calibri" w:cs="Calibri"/>
                <w:color w:val="000000"/>
              </w:rPr>
            </w:pPr>
          </w:p>
        </w:tc>
      </w:tr>
      <w:tr w:rsidR="0026588C" w14:paraId="547A7F1E" w14:textId="77777777" w:rsidTr="004B0607">
        <w:trPr>
          <w:tblCellSpacing w:w="11" w:type="dxa"/>
        </w:trPr>
        <w:tc>
          <w:tcPr>
            <w:tcW w:w="1129" w:type="dxa"/>
            <w:tcBorders>
              <w:top w:val="single" w:sz="4" w:space="0" w:color="auto"/>
              <w:left w:val="single" w:sz="4" w:space="0" w:color="auto"/>
              <w:bottom w:val="single" w:sz="4" w:space="0" w:color="auto"/>
              <w:right w:val="single" w:sz="4" w:space="0" w:color="auto"/>
            </w:tcBorders>
            <w:vAlign w:val="center"/>
          </w:tcPr>
          <w:p w14:paraId="65AF9D3D" w14:textId="54E999B5" w:rsidR="0026588C" w:rsidRDefault="0026588C" w:rsidP="0026588C">
            <w:pPr>
              <w:spacing w:after="0" w:line="240" w:lineRule="auto"/>
              <w:jc w:val="center"/>
              <w:rPr>
                <w:rFonts w:ascii="Calibri" w:hAnsi="Calibri" w:cs="Calibri"/>
                <w:b/>
                <w:bCs/>
                <w:color w:val="000000"/>
              </w:rPr>
            </w:pPr>
            <w:r>
              <w:rPr>
                <w:rFonts w:ascii="Calibri" w:hAnsi="Calibri" w:cs="Calibri"/>
                <w:b/>
                <w:bCs/>
                <w:color w:val="000000"/>
              </w:rPr>
              <w:t>2</w:t>
            </w:r>
            <w:r w:rsidR="00DD086F">
              <w:rPr>
                <w:rFonts w:ascii="Calibri" w:hAnsi="Calibri" w:cs="Calibri"/>
                <w:b/>
                <w:bCs/>
                <w:color w:val="000000"/>
              </w:rPr>
              <w:t>4</w:t>
            </w:r>
            <w:r>
              <w:rPr>
                <w:rFonts w:ascii="Calibri" w:hAnsi="Calibri" w:cs="Calibri"/>
                <w:b/>
                <w:bCs/>
                <w:color w:val="000000"/>
              </w:rPr>
              <w:t>/</w:t>
            </w:r>
            <w:r w:rsidR="00DD086F">
              <w:rPr>
                <w:rFonts w:ascii="Calibri" w:hAnsi="Calibri" w:cs="Calibri"/>
                <w:b/>
                <w:bCs/>
                <w:color w:val="000000"/>
              </w:rPr>
              <w:t>T</w:t>
            </w:r>
            <w:r>
              <w:rPr>
                <w:rFonts w:ascii="Calibri" w:hAnsi="Calibri" w:cs="Calibri"/>
                <w:b/>
                <w:bCs/>
                <w:color w:val="000000"/>
              </w:rPr>
              <w:t>2/01</w:t>
            </w:r>
          </w:p>
        </w:tc>
        <w:tc>
          <w:tcPr>
            <w:tcW w:w="5845" w:type="dxa"/>
          </w:tcPr>
          <w:p w14:paraId="5D43199E" w14:textId="05E85944" w:rsidR="00B8280E" w:rsidRPr="00B8280E" w:rsidRDefault="00B8280E" w:rsidP="00B8280E">
            <w:r>
              <w:fldChar w:fldCharType="begin"/>
            </w:r>
            <w:r>
              <w:instrText xml:space="preserve"> LINK </w:instrText>
            </w:r>
            <w:r w:rsidR="00D0386A">
              <w:instrText xml:space="preserve">Excel.Sheet.12 "C:\\Users\\1524178\\RECORDS-NI_7.1.2\\Offline Records (AE)\\Overall monitoring - Science - Research Programme - Monitoring\\E&amp;I Work Programme - Overarching Spreadsheet - Version 5 - created June 2020.XLSX" "2024 Project Details !R11C2" </w:instrText>
            </w:r>
            <w:r>
              <w:instrText xml:space="preserve">\a \f 4 \h </w:instrText>
            </w:r>
            <w:r>
              <w:fldChar w:fldCharType="separate"/>
            </w:r>
            <w:r w:rsidRPr="00B8280E">
              <w:rPr>
                <w:rFonts w:ascii="Calibri" w:eastAsia="Times New Roman" w:hAnsi="Calibri" w:cs="Calibri"/>
                <w:color w:val="000000"/>
                <w:lang w:eastAsia="en-GB"/>
              </w:rPr>
              <w:t>“</w:t>
            </w:r>
            <w:r>
              <w:rPr>
                <w:rFonts w:ascii="Calibri" w:eastAsia="Times New Roman" w:hAnsi="Calibri" w:cs="Calibri"/>
                <w:color w:val="000000"/>
                <w:lang w:eastAsia="en-GB"/>
              </w:rPr>
              <w:t>A</w:t>
            </w:r>
            <w:r w:rsidRPr="00B8280E">
              <w:rPr>
                <w:rFonts w:ascii="Calibri" w:eastAsia="Times New Roman" w:hAnsi="Calibri" w:cs="Calibri"/>
                <w:color w:val="000000"/>
                <w:lang w:eastAsia="en-GB"/>
              </w:rPr>
              <w:t>MB</w:t>
            </w:r>
            <w:r w:rsidRPr="00B8280E">
              <w:rPr>
                <w:rFonts w:ascii="Calibri" w:eastAsia="Times New Roman" w:hAnsi="Calibri" w:cs="Calibri"/>
                <w:color w:val="000000"/>
                <w:lang w:eastAsia="en-GB"/>
              </w:rPr>
              <w:softHyphen/>
              <w:t>-Woodland’ Attitudes, Motivations, and Barriers to Woodland Creation for Landowners in Northern Ireland: An Application of Behavioural Economics</w:t>
            </w:r>
          </w:p>
          <w:p w14:paraId="1D302AAB" w14:textId="337D4E08" w:rsidR="0026588C" w:rsidRPr="00211995" w:rsidRDefault="00B8280E" w:rsidP="00B8280E">
            <w:r>
              <w:fldChar w:fldCharType="end"/>
            </w:r>
          </w:p>
        </w:tc>
        <w:tc>
          <w:tcPr>
            <w:tcW w:w="5495" w:type="dxa"/>
          </w:tcPr>
          <w:p w14:paraId="05B221EA" w14:textId="77777777" w:rsidR="00F96321" w:rsidRDefault="00F96321" w:rsidP="00F96321">
            <w:r>
              <w:t xml:space="preserve">The overall objective of this research project is to undertake a comprehensive analysis of the behavioural drivers and barriers to forest and woodland creation by landowners in Northern Ireland. Specifically, the study will (i) examine the attitude, cultural impact and motivations of landowners to plant trees (ii) analyse the behavioural and socioeconomic factors that influence landowners’ decisions to plant trees using behavioural and econometric modelling approaches and (iii) determine the drivers and barriers of landowners to participate in </w:t>
            </w:r>
            <w:r>
              <w:lastRenderedPageBreak/>
              <w:t xml:space="preserve">afforestation/woodland creation and expansion schemes. To achieve these objectives, the research will be conducted in four phases. </w:t>
            </w:r>
          </w:p>
          <w:p w14:paraId="1DCBBC64" w14:textId="4D5FEF56" w:rsidR="00F96321" w:rsidRDefault="00F96321" w:rsidP="00F96321">
            <w:r>
              <w:t>1.</w:t>
            </w:r>
            <w:r>
              <w:tab/>
              <w:t>Review of relevant national/international policy and academic literature relating landowners’ motivations and attitudes to woodland creation</w:t>
            </w:r>
            <w:r w:rsidR="007D7FF7">
              <w:t>.</w:t>
            </w:r>
            <w:r>
              <w:t xml:space="preserve"> </w:t>
            </w:r>
          </w:p>
          <w:p w14:paraId="2C070C84" w14:textId="77777777" w:rsidR="00F96321" w:rsidRDefault="00F96321" w:rsidP="00F96321">
            <w:r>
              <w:t>2.</w:t>
            </w:r>
            <w:r>
              <w:tab/>
              <w:t>Key stakeholders’ engagement</w:t>
            </w:r>
          </w:p>
          <w:p w14:paraId="2577E2AC" w14:textId="77777777" w:rsidR="00F96321" w:rsidRDefault="00F96321" w:rsidP="00F96321">
            <w:r>
              <w:t>3.</w:t>
            </w:r>
            <w:r>
              <w:tab/>
              <w:t>Design of sampling frame and development survey questionnaire followed by a survey of farmland landowners in NI including those who have participated in previous woodland creation and expansion programmes.</w:t>
            </w:r>
          </w:p>
          <w:p w14:paraId="033F953D" w14:textId="77777777" w:rsidR="00F96321" w:rsidRDefault="00F96321" w:rsidP="00F96321">
            <w:r>
              <w:t>4.</w:t>
            </w:r>
            <w:r>
              <w:tab/>
              <w:t>Modelling, data cleaning and analysis</w:t>
            </w:r>
          </w:p>
          <w:p w14:paraId="5BE19F1D" w14:textId="746D8956" w:rsidR="0026588C" w:rsidRPr="00AE380B" w:rsidRDefault="0026588C" w:rsidP="00F96321"/>
        </w:tc>
        <w:tc>
          <w:tcPr>
            <w:tcW w:w="1479" w:type="dxa"/>
            <w:tcBorders>
              <w:top w:val="single" w:sz="4" w:space="0" w:color="auto"/>
              <w:left w:val="single" w:sz="4" w:space="0" w:color="auto"/>
              <w:bottom w:val="single" w:sz="4" w:space="0" w:color="auto"/>
              <w:right w:val="single" w:sz="4" w:space="0" w:color="auto"/>
            </w:tcBorders>
            <w:vAlign w:val="center"/>
          </w:tcPr>
          <w:p w14:paraId="55C155CE" w14:textId="77777777" w:rsidR="00B8280E" w:rsidRDefault="00B8280E" w:rsidP="00B8280E">
            <w:pPr>
              <w:spacing w:after="0" w:line="240" w:lineRule="auto"/>
              <w:jc w:val="center"/>
              <w:rPr>
                <w:rFonts w:ascii="Calibri" w:hAnsi="Calibri" w:cs="Calibri"/>
                <w:color w:val="000000"/>
              </w:rPr>
            </w:pPr>
            <w:r>
              <w:rPr>
                <w:rFonts w:ascii="Calibri" w:hAnsi="Calibri" w:cs="Calibri"/>
                <w:color w:val="000000"/>
              </w:rPr>
              <w:lastRenderedPageBreak/>
              <w:t>30/09/2027</w:t>
            </w:r>
          </w:p>
          <w:p w14:paraId="79A1EFD4" w14:textId="4FAE1B23" w:rsidR="0026588C" w:rsidRDefault="0026588C" w:rsidP="0026588C">
            <w:pPr>
              <w:spacing w:after="0" w:line="240" w:lineRule="auto"/>
              <w:jc w:val="center"/>
              <w:rPr>
                <w:rFonts w:ascii="Calibri" w:hAnsi="Calibri" w:cs="Calibri"/>
                <w:color w:val="000000"/>
              </w:rPr>
            </w:pPr>
          </w:p>
        </w:tc>
      </w:tr>
      <w:tr w:rsidR="0026588C" w14:paraId="1496C299" w14:textId="77777777" w:rsidTr="004B0607">
        <w:trPr>
          <w:tblCellSpacing w:w="11" w:type="dxa"/>
        </w:trPr>
        <w:tc>
          <w:tcPr>
            <w:tcW w:w="1129" w:type="dxa"/>
            <w:tcBorders>
              <w:top w:val="nil"/>
              <w:left w:val="single" w:sz="4" w:space="0" w:color="auto"/>
              <w:bottom w:val="single" w:sz="4" w:space="0" w:color="auto"/>
              <w:right w:val="single" w:sz="4" w:space="0" w:color="auto"/>
            </w:tcBorders>
            <w:vAlign w:val="center"/>
          </w:tcPr>
          <w:p w14:paraId="33029261" w14:textId="0E7AE893" w:rsidR="0026588C" w:rsidRDefault="00DD086F" w:rsidP="0026588C">
            <w:pPr>
              <w:jc w:val="center"/>
              <w:rPr>
                <w:rFonts w:ascii="Calibri" w:hAnsi="Calibri" w:cs="Calibri"/>
                <w:b/>
                <w:bCs/>
                <w:color w:val="000000"/>
              </w:rPr>
            </w:pPr>
            <w:r>
              <w:rPr>
                <w:rFonts w:ascii="Calibri" w:hAnsi="Calibri" w:cs="Calibri"/>
                <w:b/>
                <w:bCs/>
                <w:color w:val="000000"/>
              </w:rPr>
              <w:t>24/T2/03</w:t>
            </w:r>
          </w:p>
        </w:tc>
        <w:tc>
          <w:tcPr>
            <w:tcW w:w="5845" w:type="dxa"/>
          </w:tcPr>
          <w:p w14:paraId="04B65780" w14:textId="0723912F" w:rsidR="0026588C" w:rsidRPr="00B8280E" w:rsidRDefault="00B8280E" w:rsidP="00B8280E">
            <w:pPr>
              <w:spacing w:after="0" w:line="240" w:lineRule="auto"/>
              <w:rPr>
                <w:rFonts w:ascii="Calibri" w:hAnsi="Calibri" w:cs="Calibri"/>
                <w:color w:val="000000"/>
              </w:rPr>
            </w:pPr>
            <w:r>
              <w:rPr>
                <w:rFonts w:ascii="Calibri" w:hAnsi="Calibri" w:cs="Calibri"/>
                <w:color w:val="000000"/>
              </w:rPr>
              <w:t>PRRS-NCP - A National Control Programme for Porcine Reproductive and Respiratory Syndrome in Northern Ireland</w:t>
            </w:r>
          </w:p>
        </w:tc>
        <w:tc>
          <w:tcPr>
            <w:tcW w:w="5495" w:type="dxa"/>
          </w:tcPr>
          <w:p w14:paraId="62478F2E" w14:textId="54DDF76E" w:rsidR="004C17C1" w:rsidRPr="00AE380B" w:rsidRDefault="00803BDF" w:rsidP="004C17C1">
            <w:r w:rsidRPr="00803BDF">
              <w:t xml:space="preserve">Porcine Reproductive and Respiratory Syndrome (PRRS) is the most economically important disease of swine to have emerged in the last half century, with annual loses in the UK amounting to £52 million per year. PRRS is caused by a virus, PRRSv, that causes reproductive failure in sows and respiratory disease in growing pigs. The virus has had a devasting impact on the NI pig industry and threatens its future sustainability. Furthermore, PRRSv infection is associated with increased antibiotic use due to its promotion of secondary bacterial infections, hampering the goal of combating antimicrobial resistance. It is therefore desirable to control PRRSv </w:t>
            </w:r>
            <w:r w:rsidR="007D7FF7" w:rsidRPr="00803BDF">
              <w:t>to</w:t>
            </w:r>
            <w:r w:rsidRPr="00803BDF">
              <w:t xml:space="preserve"> minimise its </w:t>
            </w:r>
            <w:r w:rsidRPr="00803BDF">
              <w:lastRenderedPageBreak/>
              <w:t xml:space="preserve">impact and ensure the future viability of the NI pork sector. A recent pilot study in the Cookstown area demonstrated that control of PRRSv is possible via synchronised mass vaccination of breeding units and improvement of biosecurity. </w:t>
            </w:r>
          </w:p>
        </w:tc>
        <w:tc>
          <w:tcPr>
            <w:tcW w:w="1479" w:type="dxa"/>
            <w:tcBorders>
              <w:top w:val="nil"/>
              <w:left w:val="single" w:sz="4" w:space="0" w:color="auto"/>
              <w:bottom w:val="single" w:sz="4" w:space="0" w:color="auto"/>
              <w:right w:val="single" w:sz="4" w:space="0" w:color="auto"/>
            </w:tcBorders>
            <w:vAlign w:val="center"/>
          </w:tcPr>
          <w:p w14:paraId="276423AD" w14:textId="77777777" w:rsidR="00B8280E" w:rsidRDefault="00B8280E" w:rsidP="00B8280E">
            <w:pPr>
              <w:spacing w:after="0" w:line="240" w:lineRule="auto"/>
              <w:jc w:val="center"/>
              <w:rPr>
                <w:rFonts w:ascii="Calibri" w:hAnsi="Calibri" w:cs="Calibri"/>
                <w:color w:val="000000"/>
              </w:rPr>
            </w:pPr>
            <w:r>
              <w:rPr>
                <w:rFonts w:ascii="Calibri" w:hAnsi="Calibri" w:cs="Calibri"/>
                <w:color w:val="000000"/>
              </w:rPr>
              <w:lastRenderedPageBreak/>
              <w:t>31/03/2028</w:t>
            </w:r>
          </w:p>
          <w:p w14:paraId="6E4CD510" w14:textId="6553EF92" w:rsidR="0026588C" w:rsidRDefault="0026588C" w:rsidP="0026588C">
            <w:pPr>
              <w:jc w:val="center"/>
              <w:rPr>
                <w:rFonts w:ascii="Calibri" w:hAnsi="Calibri" w:cs="Calibri"/>
                <w:color w:val="000000"/>
              </w:rPr>
            </w:pPr>
          </w:p>
        </w:tc>
      </w:tr>
      <w:tr w:rsidR="0026588C" w14:paraId="1CCF6BF5" w14:textId="77777777" w:rsidTr="004B0607">
        <w:trPr>
          <w:tblCellSpacing w:w="11" w:type="dxa"/>
        </w:trPr>
        <w:tc>
          <w:tcPr>
            <w:tcW w:w="1129" w:type="dxa"/>
            <w:tcBorders>
              <w:top w:val="nil"/>
              <w:left w:val="single" w:sz="4" w:space="0" w:color="auto"/>
              <w:bottom w:val="single" w:sz="4" w:space="0" w:color="auto"/>
              <w:right w:val="single" w:sz="4" w:space="0" w:color="auto"/>
            </w:tcBorders>
            <w:vAlign w:val="center"/>
          </w:tcPr>
          <w:p w14:paraId="76B41DC1" w14:textId="50D4730F" w:rsidR="0026588C" w:rsidRDefault="00DD086F" w:rsidP="0026588C">
            <w:pPr>
              <w:jc w:val="center"/>
              <w:rPr>
                <w:rFonts w:ascii="Calibri" w:hAnsi="Calibri" w:cs="Calibri"/>
                <w:b/>
                <w:bCs/>
                <w:color w:val="000000"/>
              </w:rPr>
            </w:pPr>
            <w:r>
              <w:rPr>
                <w:rFonts w:ascii="Calibri" w:hAnsi="Calibri" w:cs="Calibri"/>
                <w:b/>
                <w:bCs/>
                <w:color w:val="000000"/>
              </w:rPr>
              <w:t>24/T2/04</w:t>
            </w:r>
          </w:p>
        </w:tc>
        <w:tc>
          <w:tcPr>
            <w:tcW w:w="5845" w:type="dxa"/>
          </w:tcPr>
          <w:p w14:paraId="76E65B76" w14:textId="01E37716" w:rsidR="0026588C" w:rsidRPr="00B8280E" w:rsidRDefault="00B8280E" w:rsidP="00B8280E">
            <w:pPr>
              <w:spacing w:after="0" w:line="240" w:lineRule="auto"/>
              <w:rPr>
                <w:rFonts w:ascii="Calibri" w:hAnsi="Calibri" w:cs="Calibri"/>
                <w:color w:val="000000"/>
              </w:rPr>
            </w:pPr>
            <w:r>
              <w:rPr>
                <w:rFonts w:ascii="Calibri" w:hAnsi="Calibri" w:cs="Calibri"/>
                <w:color w:val="000000"/>
              </w:rPr>
              <w:t>ALTFARROWNI - Alternative farrowing methods and their impact for the NI industry</w:t>
            </w:r>
          </w:p>
        </w:tc>
        <w:tc>
          <w:tcPr>
            <w:tcW w:w="5495" w:type="dxa"/>
          </w:tcPr>
          <w:p w14:paraId="4609993A" w14:textId="77777777" w:rsidR="00B07622" w:rsidRDefault="00B07622" w:rsidP="00B07622">
            <w:r>
              <w:t>The overall objective is to ease the transition towards alternative farrowing systems on NI pig farms, by providing insight into the best systems and management in terms of productivity, animal welfare, and their environmental footprint.</w:t>
            </w:r>
          </w:p>
          <w:p w14:paraId="794822C1" w14:textId="77777777" w:rsidR="00B07622" w:rsidRDefault="00B07622" w:rsidP="00B07622"/>
          <w:p w14:paraId="43E2CADB" w14:textId="0F73D789" w:rsidR="00B07622" w:rsidRDefault="00B07622" w:rsidP="00B07622">
            <w:r>
              <w:t>WP I. Assessing the environmental impact and cost of moving to alternative farrowing in NI</w:t>
            </w:r>
          </w:p>
          <w:p w14:paraId="22ECFBDF" w14:textId="77777777" w:rsidR="00B07622" w:rsidRDefault="00B07622" w:rsidP="00B07622">
            <w:r>
              <w:t>WP II. Collate knowledge and experiences from outside of NI</w:t>
            </w:r>
          </w:p>
          <w:p w14:paraId="1C7606D9" w14:textId="4A0C9BC7" w:rsidR="00B07622" w:rsidRDefault="00B07622" w:rsidP="00B07622">
            <w:r>
              <w:t>WP III. Assessing NI-specific needs and options</w:t>
            </w:r>
          </w:p>
          <w:p w14:paraId="264AB23C" w14:textId="77777777" w:rsidR="00B07622" w:rsidRDefault="00B07622" w:rsidP="00B07622">
            <w:r>
              <w:t xml:space="preserve">WP IV. Experimental research to satisfy NI knowledge gaps </w:t>
            </w:r>
          </w:p>
          <w:p w14:paraId="7E4FC2DD" w14:textId="637476A4" w:rsidR="0026588C" w:rsidRPr="00AE380B" w:rsidRDefault="0026588C" w:rsidP="00B07622"/>
        </w:tc>
        <w:tc>
          <w:tcPr>
            <w:tcW w:w="1479" w:type="dxa"/>
            <w:tcBorders>
              <w:top w:val="nil"/>
              <w:left w:val="single" w:sz="4" w:space="0" w:color="auto"/>
              <w:bottom w:val="single" w:sz="4" w:space="0" w:color="auto"/>
              <w:right w:val="single" w:sz="4" w:space="0" w:color="auto"/>
            </w:tcBorders>
            <w:vAlign w:val="center"/>
          </w:tcPr>
          <w:p w14:paraId="415BF109" w14:textId="77777777" w:rsidR="00B8280E" w:rsidRDefault="00B8280E" w:rsidP="00B8280E">
            <w:pPr>
              <w:spacing w:after="0" w:line="240" w:lineRule="auto"/>
              <w:rPr>
                <w:rFonts w:ascii="Calibri" w:hAnsi="Calibri" w:cs="Calibri"/>
                <w:color w:val="000000"/>
              </w:rPr>
            </w:pPr>
            <w:r>
              <w:rPr>
                <w:rFonts w:ascii="Calibri" w:hAnsi="Calibri" w:cs="Calibri"/>
                <w:color w:val="000000"/>
              </w:rPr>
              <w:t>31/03/2028</w:t>
            </w:r>
          </w:p>
          <w:p w14:paraId="54F38202" w14:textId="786FF96C" w:rsidR="0026588C" w:rsidRDefault="0026588C" w:rsidP="00DD086F">
            <w:pPr>
              <w:rPr>
                <w:rFonts w:ascii="Calibri" w:hAnsi="Calibri" w:cs="Calibri"/>
                <w:color w:val="000000"/>
              </w:rPr>
            </w:pPr>
          </w:p>
        </w:tc>
      </w:tr>
      <w:tr w:rsidR="0026588C" w14:paraId="0DCB9C26" w14:textId="77777777" w:rsidTr="004B0607">
        <w:trPr>
          <w:tblCellSpacing w:w="11" w:type="dxa"/>
        </w:trPr>
        <w:tc>
          <w:tcPr>
            <w:tcW w:w="1129" w:type="dxa"/>
            <w:tcBorders>
              <w:top w:val="nil"/>
              <w:left w:val="single" w:sz="4" w:space="0" w:color="auto"/>
              <w:bottom w:val="single" w:sz="4" w:space="0" w:color="auto"/>
              <w:right w:val="single" w:sz="4" w:space="0" w:color="auto"/>
            </w:tcBorders>
            <w:vAlign w:val="center"/>
          </w:tcPr>
          <w:p w14:paraId="5C6D58B0" w14:textId="49EB2976" w:rsidR="0026588C" w:rsidRDefault="00DD086F" w:rsidP="0026588C">
            <w:pPr>
              <w:jc w:val="center"/>
              <w:rPr>
                <w:rFonts w:ascii="Calibri" w:hAnsi="Calibri" w:cs="Calibri"/>
                <w:b/>
                <w:bCs/>
                <w:color w:val="000000"/>
              </w:rPr>
            </w:pPr>
            <w:r>
              <w:rPr>
                <w:rFonts w:ascii="Calibri" w:hAnsi="Calibri" w:cs="Calibri"/>
                <w:b/>
                <w:bCs/>
                <w:color w:val="000000"/>
              </w:rPr>
              <w:t>24/T2/05</w:t>
            </w:r>
          </w:p>
        </w:tc>
        <w:tc>
          <w:tcPr>
            <w:tcW w:w="5845" w:type="dxa"/>
          </w:tcPr>
          <w:p w14:paraId="69F04B1A" w14:textId="5769DC93" w:rsidR="0026588C" w:rsidRPr="00B8280E" w:rsidRDefault="00B8280E" w:rsidP="00B8280E">
            <w:pPr>
              <w:spacing w:after="0" w:line="240" w:lineRule="auto"/>
              <w:rPr>
                <w:rFonts w:ascii="Calibri" w:hAnsi="Calibri" w:cs="Calibri"/>
                <w:color w:val="000000"/>
              </w:rPr>
            </w:pPr>
            <w:r>
              <w:rPr>
                <w:rFonts w:ascii="Calibri" w:hAnsi="Calibri" w:cs="Calibri"/>
                <w:color w:val="000000"/>
              </w:rPr>
              <w:t>IMPRO MONO: IMPROving Sustainability of Pig and Poultry (MONOgastric) Production through Optimization of Input and Output Efficiency</w:t>
            </w:r>
          </w:p>
        </w:tc>
        <w:tc>
          <w:tcPr>
            <w:tcW w:w="5495" w:type="dxa"/>
          </w:tcPr>
          <w:p w14:paraId="56ED852E" w14:textId="77777777" w:rsidR="00B07622" w:rsidRPr="00B07622" w:rsidRDefault="00B07622" w:rsidP="00B07622">
            <w:pPr>
              <w:rPr>
                <w:bCs/>
              </w:rPr>
            </w:pPr>
            <w:r w:rsidRPr="00B07622">
              <w:rPr>
                <w:bCs/>
              </w:rPr>
              <w:t xml:space="preserve">The overall objective of the project is to reduce the carbon, phosphorus and nitrogen/ammonia footprint of NI pig and poultry systems. To achieve the main objective, </w:t>
            </w:r>
            <w:r w:rsidRPr="00B07622">
              <w:rPr>
                <w:bCs/>
              </w:rPr>
              <w:lastRenderedPageBreak/>
              <w:t>the project is structured in four work packages aligned with their respective secondary objective:</w:t>
            </w:r>
          </w:p>
          <w:p w14:paraId="711B1CF6" w14:textId="05F84A5F" w:rsidR="00B07622" w:rsidRPr="00B07622" w:rsidRDefault="00B07622" w:rsidP="00B07622">
            <w:pPr>
              <w:rPr>
                <w:bCs/>
              </w:rPr>
            </w:pPr>
            <w:r w:rsidRPr="00B07622">
              <w:rPr>
                <w:bCs/>
              </w:rPr>
              <w:t xml:space="preserve">WP1: Establishment of steering group, screening for low carbon and nitrogen footprint ingredients and strategies to optimise phosphorus utilisation. </w:t>
            </w:r>
          </w:p>
          <w:p w14:paraId="3832EEBF" w14:textId="2149DB5B" w:rsidR="00B07622" w:rsidRPr="00B07622" w:rsidRDefault="00B07622" w:rsidP="00B07622">
            <w:pPr>
              <w:rPr>
                <w:bCs/>
              </w:rPr>
            </w:pPr>
            <w:r w:rsidRPr="00B07622">
              <w:rPr>
                <w:bCs/>
              </w:rPr>
              <w:t xml:space="preserve">WP2: To investigate the nutrient value of novel low carbon footprint ingredients. </w:t>
            </w:r>
          </w:p>
          <w:p w14:paraId="14FDE616" w14:textId="2970F86B" w:rsidR="00B07622" w:rsidRPr="00B07622" w:rsidRDefault="00B07622" w:rsidP="00B07622">
            <w:pPr>
              <w:rPr>
                <w:bCs/>
              </w:rPr>
            </w:pPr>
            <w:r w:rsidRPr="00B07622">
              <w:rPr>
                <w:bCs/>
              </w:rPr>
              <w:t xml:space="preserve">WP3: To lower phosphorus/ammonia inputs and outputs of pig and poultry systems in low carbon diets. </w:t>
            </w:r>
          </w:p>
          <w:p w14:paraId="46305E08" w14:textId="347626E3" w:rsidR="0026588C" w:rsidRPr="004C17C1" w:rsidRDefault="00B07622" w:rsidP="00B07622">
            <w:pPr>
              <w:rPr>
                <w:bCs/>
              </w:rPr>
            </w:pPr>
            <w:r w:rsidRPr="00B07622">
              <w:rPr>
                <w:bCs/>
              </w:rPr>
              <w:t xml:space="preserve">WP4: Environmental assessment of alternative ingredients and low carbon footprint diets. </w:t>
            </w:r>
          </w:p>
        </w:tc>
        <w:tc>
          <w:tcPr>
            <w:tcW w:w="1479" w:type="dxa"/>
          </w:tcPr>
          <w:p w14:paraId="4894445A" w14:textId="01A7E9CC" w:rsidR="0026588C" w:rsidRDefault="0026588C" w:rsidP="0026588C">
            <w:pPr>
              <w:spacing w:after="0" w:line="240" w:lineRule="auto"/>
              <w:rPr>
                <w:rFonts w:ascii="Calibri" w:hAnsi="Calibri" w:cs="Calibri"/>
                <w:color w:val="000000"/>
              </w:rPr>
            </w:pPr>
            <w:r>
              <w:rPr>
                <w:rFonts w:ascii="Calibri" w:hAnsi="Calibri" w:cs="Calibri"/>
                <w:color w:val="000000"/>
              </w:rPr>
              <w:lastRenderedPageBreak/>
              <w:t xml:space="preserve">   </w:t>
            </w:r>
          </w:p>
          <w:p w14:paraId="5DA1C590" w14:textId="77777777" w:rsidR="00B8280E" w:rsidRDefault="00B8280E" w:rsidP="00B8280E">
            <w:pPr>
              <w:spacing w:after="0" w:line="240" w:lineRule="auto"/>
              <w:rPr>
                <w:rFonts w:ascii="Calibri" w:hAnsi="Calibri" w:cs="Calibri"/>
                <w:color w:val="000000"/>
              </w:rPr>
            </w:pPr>
            <w:r>
              <w:rPr>
                <w:rFonts w:ascii="Calibri" w:hAnsi="Calibri" w:cs="Calibri"/>
                <w:color w:val="000000"/>
              </w:rPr>
              <w:t>31/05/2029</w:t>
            </w:r>
          </w:p>
          <w:p w14:paraId="7B0F1CAA" w14:textId="77777777" w:rsidR="0026588C" w:rsidRDefault="0026588C" w:rsidP="0026588C">
            <w:pPr>
              <w:rPr>
                <w:b/>
              </w:rPr>
            </w:pPr>
          </w:p>
        </w:tc>
      </w:tr>
      <w:tr w:rsidR="0026588C" w14:paraId="4BD637A9" w14:textId="77777777" w:rsidTr="004B0607">
        <w:trPr>
          <w:tblCellSpacing w:w="11" w:type="dxa"/>
        </w:trPr>
        <w:tc>
          <w:tcPr>
            <w:tcW w:w="1129" w:type="dxa"/>
          </w:tcPr>
          <w:p w14:paraId="36C24959" w14:textId="39D94717" w:rsidR="0026588C" w:rsidRDefault="00DD086F" w:rsidP="0026588C">
            <w:pPr>
              <w:rPr>
                <w:b/>
              </w:rPr>
            </w:pPr>
            <w:r>
              <w:rPr>
                <w:rFonts w:ascii="Calibri" w:hAnsi="Calibri" w:cs="Calibri"/>
                <w:b/>
                <w:bCs/>
                <w:color w:val="000000"/>
              </w:rPr>
              <w:t>24/T2/07</w:t>
            </w:r>
          </w:p>
        </w:tc>
        <w:tc>
          <w:tcPr>
            <w:tcW w:w="5845" w:type="dxa"/>
          </w:tcPr>
          <w:p w14:paraId="56849ED7" w14:textId="472255C4" w:rsidR="0026588C" w:rsidRPr="00B8280E" w:rsidRDefault="00B8280E" w:rsidP="00B8280E">
            <w:pPr>
              <w:spacing w:after="0" w:line="240" w:lineRule="auto"/>
              <w:rPr>
                <w:rFonts w:ascii="Calibri" w:hAnsi="Calibri" w:cs="Calibri"/>
                <w:color w:val="000000"/>
              </w:rPr>
            </w:pPr>
            <w:r>
              <w:rPr>
                <w:rFonts w:ascii="Calibri" w:hAnsi="Calibri" w:cs="Calibri"/>
                <w:color w:val="000000"/>
              </w:rPr>
              <w:t>Overarching Project: Nitrogen and phosphorus optimisation in high productivity ruminant systems: NAPPS /     GROW-NP: Growing dairy youngstock using targeted nutritional strategies for Nitrogen and Phosphorus Efficiency</w:t>
            </w:r>
          </w:p>
        </w:tc>
        <w:tc>
          <w:tcPr>
            <w:tcW w:w="5495" w:type="dxa"/>
          </w:tcPr>
          <w:p w14:paraId="26FF5967" w14:textId="77777777" w:rsidR="00D31764" w:rsidRDefault="00D31764" w:rsidP="00D31764">
            <w:r>
              <w:t>The overall objective of this project is provide key stakeholders (DAERA, CAFRE, NIEA, the Northern Ireland (NI) feed Industry, and farmers) with a robust evidence base on which decisions can be made to reduce and refine N and P contents in the diet of replacement dairy heifers and growing dairy origin beef cattle and to further our understanding of the impact of these changes on nutrient utilisation, animal performance at key life stages and the resultant environmental and economic consequences.</w:t>
            </w:r>
          </w:p>
          <w:p w14:paraId="38CE9132" w14:textId="35D0B367" w:rsidR="0026588C" w:rsidRPr="00AE380B" w:rsidRDefault="00D31764" w:rsidP="0026588C">
            <w:r>
              <w:t xml:space="preserve"> </w:t>
            </w:r>
          </w:p>
        </w:tc>
        <w:tc>
          <w:tcPr>
            <w:tcW w:w="1479" w:type="dxa"/>
          </w:tcPr>
          <w:p w14:paraId="59D51621" w14:textId="77777777" w:rsidR="00B8280E" w:rsidRDefault="00B8280E" w:rsidP="00B8280E">
            <w:pPr>
              <w:spacing w:after="0" w:line="240" w:lineRule="auto"/>
              <w:rPr>
                <w:rFonts w:ascii="Calibri" w:hAnsi="Calibri" w:cs="Calibri"/>
                <w:color w:val="000000"/>
              </w:rPr>
            </w:pPr>
          </w:p>
          <w:p w14:paraId="31705B29" w14:textId="2778A16A" w:rsidR="00B8280E" w:rsidRDefault="00B8280E" w:rsidP="00B8280E">
            <w:pPr>
              <w:spacing w:after="0" w:line="240" w:lineRule="auto"/>
              <w:rPr>
                <w:rFonts w:ascii="Calibri" w:hAnsi="Calibri" w:cs="Calibri"/>
                <w:color w:val="000000"/>
              </w:rPr>
            </w:pPr>
            <w:r>
              <w:rPr>
                <w:rFonts w:ascii="Calibri" w:hAnsi="Calibri" w:cs="Calibri"/>
                <w:color w:val="000000"/>
              </w:rPr>
              <w:t>31/01/2029</w:t>
            </w:r>
          </w:p>
          <w:p w14:paraId="40BDC909" w14:textId="10E51EC3" w:rsidR="0026588C" w:rsidRDefault="0026588C" w:rsidP="0026588C">
            <w:pPr>
              <w:rPr>
                <w:b/>
              </w:rPr>
            </w:pPr>
          </w:p>
        </w:tc>
      </w:tr>
      <w:tr w:rsidR="00DD086F" w14:paraId="656BF30C" w14:textId="77777777" w:rsidTr="00261D5F">
        <w:trPr>
          <w:tblCellSpacing w:w="11" w:type="dxa"/>
        </w:trPr>
        <w:tc>
          <w:tcPr>
            <w:tcW w:w="1129" w:type="dxa"/>
            <w:tcBorders>
              <w:top w:val="single" w:sz="4" w:space="0" w:color="auto"/>
              <w:left w:val="single" w:sz="4" w:space="0" w:color="auto"/>
              <w:bottom w:val="single" w:sz="4" w:space="0" w:color="auto"/>
              <w:right w:val="single" w:sz="4" w:space="0" w:color="auto"/>
            </w:tcBorders>
          </w:tcPr>
          <w:p w14:paraId="01B3CF6A" w14:textId="29AD6671" w:rsidR="00DD086F" w:rsidRDefault="00DD086F" w:rsidP="00DD086F">
            <w:pPr>
              <w:spacing w:after="0" w:line="240" w:lineRule="auto"/>
              <w:jc w:val="center"/>
              <w:rPr>
                <w:rFonts w:ascii="Calibri" w:hAnsi="Calibri" w:cs="Calibri"/>
                <w:b/>
                <w:bCs/>
                <w:color w:val="000000"/>
              </w:rPr>
            </w:pPr>
            <w:r w:rsidRPr="00B613BA">
              <w:rPr>
                <w:rFonts w:ascii="Calibri" w:hAnsi="Calibri" w:cs="Calibri"/>
                <w:b/>
                <w:bCs/>
                <w:color w:val="000000"/>
              </w:rPr>
              <w:t>24/T2/0</w:t>
            </w:r>
            <w:r>
              <w:rPr>
                <w:rFonts w:ascii="Calibri" w:hAnsi="Calibri" w:cs="Calibri"/>
                <w:b/>
                <w:bCs/>
                <w:color w:val="000000"/>
              </w:rPr>
              <w:t>8</w:t>
            </w:r>
          </w:p>
        </w:tc>
        <w:tc>
          <w:tcPr>
            <w:tcW w:w="5845" w:type="dxa"/>
          </w:tcPr>
          <w:p w14:paraId="6A28C9CE" w14:textId="5D4430B1" w:rsidR="00DD086F" w:rsidRPr="00B8280E" w:rsidRDefault="00B8280E" w:rsidP="00B8280E">
            <w:pPr>
              <w:spacing w:after="0" w:line="240" w:lineRule="auto"/>
              <w:rPr>
                <w:rFonts w:ascii="Calibri" w:hAnsi="Calibri" w:cs="Calibri"/>
                <w:color w:val="000000"/>
              </w:rPr>
            </w:pPr>
            <w:r>
              <w:rPr>
                <w:rFonts w:ascii="Calibri" w:hAnsi="Calibri" w:cs="Calibri"/>
                <w:color w:val="000000"/>
              </w:rPr>
              <w:t xml:space="preserve">Understanding the short and long-term impacts of offering methane supressing feed additives on rumen function, </w:t>
            </w:r>
            <w:r>
              <w:rPr>
                <w:rFonts w:ascii="Calibri" w:hAnsi="Calibri" w:cs="Calibri"/>
                <w:color w:val="000000"/>
              </w:rPr>
              <w:lastRenderedPageBreak/>
              <w:t>methane production, dairy cow performance, and the broader consequences of their use (CH4- SUPPRES)</w:t>
            </w:r>
          </w:p>
        </w:tc>
        <w:tc>
          <w:tcPr>
            <w:tcW w:w="5495" w:type="dxa"/>
          </w:tcPr>
          <w:p w14:paraId="424315CB" w14:textId="2968BC6F" w:rsidR="00D31764" w:rsidRDefault="00D31764" w:rsidP="00D31764">
            <w:r>
              <w:lastRenderedPageBreak/>
              <w:t xml:space="preserve">Global and local challenges associated with climate change are well documented. The UK has therefore committed to reaching net-zero carbon emissions by 2050, with </w:t>
            </w:r>
            <w:r>
              <w:lastRenderedPageBreak/>
              <w:t xml:space="preserve">Northern Ireland (NI) departments targeting a 48% reduction in GHG emission in 2030 (compared to 1990 levels). Given that agriculture within NI contributes approximately 29% of GHG emissions, with 18% of agriculture GHG emissions derived from methane from enteric fermentation from ruminant livestock, the adoption of methane mitigation strategies within the local livestock sector is a key priority. </w:t>
            </w:r>
          </w:p>
          <w:p w14:paraId="1E4E79C7" w14:textId="369758A3" w:rsidR="00D31764" w:rsidRDefault="00D31764" w:rsidP="00D31764">
            <w:r>
              <w:t>The aim of this project is to examine both the short and long-term impact of offering methane suppressing feed additives</w:t>
            </w:r>
            <w:r w:rsidR="00647F33">
              <w:t>.</w:t>
            </w:r>
            <w:r>
              <w:t xml:space="preserve"> </w:t>
            </w:r>
          </w:p>
          <w:p w14:paraId="4F20DD23" w14:textId="3211C59E" w:rsidR="00D31764" w:rsidRDefault="00D31764" w:rsidP="00D31764">
            <w:r>
              <w:t>Specific objectives can be defined as:</w:t>
            </w:r>
          </w:p>
          <w:p w14:paraId="3AD06F44" w14:textId="3E9CC887" w:rsidR="00D31764" w:rsidRDefault="00D31764" w:rsidP="00D31764">
            <w:r>
              <w:t>1.</w:t>
            </w:r>
            <w:r>
              <w:tab/>
              <w:t xml:space="preserve">To examine the long-term impact (over either one or two successive lactations: </w:t>
            </w:r>
          </w:p>
          <w:p w14:paraId="69495E97" w14:textId="24C845BF" w:rsidR="00D31764" w:rsidRDefault="00D31764" w:rsidP="00D31764">
            <w:r>
              <w:t>2.</w:t>
            </w:r>
            <w:r>
              <w:tab/>
              <w:t xml:space="preserve">To understand the impact of these additives on </w:t>
            </w:r>
            <w:r w:rsidR="00647F33">
              <w:t>animals’</w:t>
            </w:r>
            <w:r>
              <w:t xml:space="preserve"> metabolism (via blood metabolites), rumen fermentation, rumen microbial populations/microbial function, and total diet digestibility/nutrient utilisation efficiency.</w:t>
            </w:r>
          </w:p>
          <w:p w14:paraId="3EBEAD5C" w14:textId="77777777" w:rsidR="00D31764" w:rsidRDefault="00D31764" w:rsidP="00D31764">
            <w:r>
              <w:t>3.</w:t>
            </w:r>
            <w:r>
              <w:tab/>
              <w:t xml:space="preserve">To examine the impact of these methane supressing feed additives on food intake, milk production, milk composition (including the fatty acid composition of milk), body tissue changes, and dairy cow fertility and health. </w:t>
            </w:r>
          </w:p>
          <w:p w14:paraId="340D687B" w14:textId="77777777" w:rsidR="00D31764" w:rsidRDefault="00D31764" w:rsidP="00D31764">
            <w:r>
              <w:lastRenderedPageBreak/>
              <w:t>4.</w:t>
            </w:r>
            <w:r>
              <w:tab/>
              <w:t>To examine the long-term effects of offering these methane supressing feed supplements (including during the dry period) on colostrum quality and calf viability.</w:t>
            </w:r>
          </w:p>
          <w:p w14:paraId="016E0A28" w14:textId="77777777" w:rsidR="00D31764" w:rsidRDefault="00D31764" w:rsidP="00D31764">
            <w:r>
              <w:t>5.</w:t>
            </w:r>
            <w:r>
              <w:tab/>
              <w:t xml:space="preserve">To examine the economic impact and the environmental footprint of including these additives in the diet of dairy cows. </w:t>
            </w:r>
          </w:p>
          <w:p w14:paraId="75886157" w14:textId="77777777" w:rsidR="00D31764" w:rsidRDefault="00D31764" w:rsidP="00D31764">
            <w:r>
              <w:t>6.</w:t>
            </w:r>
            <w:r>
              <w:tab/>
              <w:t>To examine the use of methane supressing feed additives within a grazing situation (Review-Go point prior to study).</w:t>
            </w:r>
          </w:p>
          <w:p w14:paraId="0C0B4B62" w14:textId="77777777" w:rsidR="00D31764" w:rsidRDefault="00D31764" w:rsidP="00D31764">
            <w:r>
              <w:t>7.</w:t>
            </w:r>
            <w:r>
              <w:tab/>
              <w:t>To examine the use of methane supressing feed additives when offered in combination (Review-Go point prior to study).</w:t>
            </w:r>
          </w:p>
          <w:p w14:paraId="39D2DBCD" w14:textId="4086E2E9" w:rsidR="00DD086F" w:rsidRPr="00DA568F" w:rsidRDefault="00D31764" w:rsidP="00D31764">
            <w:r>
              <w:t>8.</w:t>
            </w:r>
            <w:r>
              <w:tab/>
              <w:t>To understand the interaction between cow genotype and the response to methane supressing feed additives</w:t>
            </w:r>
          </w:p>
        </w:tc>
        <w:tc>
          <w:tcPr>
            <w:tcW w:w="1479" w:type="dxa"/>
          </w:tcPr>
          <w:p w14:paraId="34B90E4F" w14:textId="77777777" w:rsidR="00DD086F" w:rsidRDefault="00DD086F" w:rsidP="00DD086F"/>
          <w:p w14:paraId="4CC62D00" w14:textId="77777777" w:rsidR="00B8280E" w:rsidRDefault="00B8280E" w:rsidP="00B8280E">
            <w:pPr>
              <w:spacing w:after="0" w:line="240" w:lineRule="auto"/>
              <w:rPr>
                <w:rFonts w:ascii="Calibri" w:hAnsi="Calibri" w:cs="Calibri"/>
                <w:color w:val="000000"/>
              </w:rPr>
            </w:pPr>
            <w:r>
              <w:rPr>
                <w:rFonts w:ascii="Calibri" w:hAnsi="Calibri" w:cs="Calibri"/>
                <w:color w:val="000000"/>
              </w:rPr>
              <w:t>30/09/2027</w:t>
            </w:r>
          </w:p>
          <w:p w14:paraId="69470A88" w14:textId="1AE24BF3" w:rsidR="00B8280E" w:rsidRPr="008775B6" w:rsidRDefault="00B8280E" w:rsidP="00DD086F"/>
        </w:tc>
      </w:tr>
      <w:tr w:rsidR="00DD086F" w14:paraId="45D215BA" w14:textId="77777777" w:rsidTr="004B0607">
        <w:trPr>
          <w:tblCellSpacing w:w="11" w:type="dxa"/>
        </w:trPr>
        <w:tc>
          <w:tcPr>
            <w:tcW w:w="1129" w:type="dxa"/>
            <w:tcBorders>
              <w:top w:val="single" w:sz="4" w:space="0" w:color="auto"/>
              <w:left w:val="single" w:sz="4" w:space="0" w:color="auto"/>
              <w:bottom w:val="single" w:sz="4" w:space="0" w:color="auto"/>
              <w:right w:val="single" w:sz="4" w:space="0" w:color="auto"/>
            </w:tcBorders>
            <w:vAlign w:val="center"/>
          </w:tcPr>
          <w:p w14:paraId="1390BC3B" w14:textId="18051A4D" w:rsidR="00DD086F" w:rsidRDefault="00DD086F" w:rsidP="0039258C">
            <w:pPr>
              <w:spacing w:after="0" w:line="240" w:lineRule="auto"/>
              <w:jc w:val="center"/>
              <w:rPr>
                <w:rFonts w:ascii="Calibri" w:hAnsi="Calibri" w:cs="Calibri"/>
                <w:b/>
                <w:bCs/>
                <w:color w:val="000000"/>
              </w:rPr>
            </w:pPr>
            <w:r>
              <w:rPr>
                <w:rFonts w:ascii="Calibri" w:hAnsi="Calibri" w:cs="Calibri"/>
                <w:b/>
                <w:bCs/>
                <w:color w:val="000000"/>
              </w:rPr>
              <w:lastRenderedPageBreak/>
              <w:t>24/T2/11</w:t>
            </w:r>
          </w:p>
        </w:tc>
        <w:tc>
          <w:tcPr>
            <w:tcW w:w="5845" w:type="dxa"/>
          </w:tcPr>
          <w:p w14:paraId="3291D0D7" w14:textId="62B1D089" w:rsidR="00DD086F" w:rsidRPr="00B8280E" w:rsidRDefault="00B8280E" w:rsidP="00B8280E">
            <w:pPr>
              <w:spacing w:after="0" w:line="240" w:lineRule="auto"/>
              <w:rPr>
                <w:rFonts w:ascii="Calibri" w:hAnsi="Calibri" w:cs="Calibri"/>
                <w:color w:val="000000"/>
              </w:rPr>
            </w:pPr>
            <w:r>
              <w:rPr>
                <w:rFonts w:ascii="Calibri" w:hAnsi="Calibri" w:cs="Calibri"/>
                <w:color w:val="000000"/>
              </w:rPr>
              <w:t>ZeroNfarm - A study of nitrous oxide (N2O) flux and system viability within grass-based dairy cow production systems in Northern Ireland operating without the use of imported fertiliser nitrogen.</w:t>
            </w:r>
          </w:p>
        </w:tc>
        <w:tc>
          <w:tcPr>
            <w:tcW w:w="5495" w:type="dxa"/>
          </w:tcPr>
          <w:p w14:paraId="2D6399A3" w14:textId="4F40D9CE" w:rsidR="00DA5EF1" w:rsidRDefault="00DA5EF1" w:rsidP="00DA5EF1">
            <w:r>
              <w:t xml:space="preserve">Synthetic nitrogen-containing fertilizers introduced in the last century have revolutionized farming across the world, allowing production to be doubled per unit area. But this increase in fertilizer use has come at a cost: the release of planet-warming greenhouse gas emissions due to both the high energy needed to produce synthetic fertilizers and the release of greenhouse gases after application through breakdown in the soil to nitrous oxide. Run-off of excess nitrogen and phosphorous to waterways also causes pollution and eutrophication, leading to poorer water </w:t>
            </w:r>
            <w:r>
              <w:lastRenderedPageBreak/>
              <w:t xml:space="preserve">quality. Fertiliser production methods are changing; a recent announcement by Yara outlined how they plan to produce low-carbon footprint fertilisers, manufactured using renewable electricity instead of fossil fuels, albeit this does not address gaseous losses in the field. Therefore, further solutions are urgently needed to considerably reduce or remove the farming industry’s reliance on synthetic N fertilizers and move to a ‘greener’ more sustainable future for farming in a dynamic future climate.  </w:t>
            </w:r>
          </w:p>
          <w:p w14:paraId="1F05A4CB" w14:textId="11BBED79" w:rsidR="00DD086F" w:rsidRPr="00DA568F" w:rsidRDefault="00DD086F" w:rsidP="00DA5EF1"/>
        </w:tc>
        <w:tc>
          <w:tcPr>
            <w:tcW w:w="1479" w:type="dxa"/>
          </w:tcPr>
          <w:p w14:paraId="63D8C5AA" w14:textId="77777777" w:rsidR="00DD086F" w:rsidRDefault="00DD086F" w:rsidP="0039258C"/>
          <w:p w14:paraId="4E119D5E" w14:textId="77777777" w:rsidR="00B8280E" w:rsidRDefault="00B8280E" w:rsidP="00B8280E">
            <w:pPr>
              <w:spacing w:after="0" w:line="240" w:lineRule="auto"/>
              <w:rPr>
                <w:rFonts w:ascii="Calibri" w:hAnsi="Calibri" w:cs="Calibri"/>
                <w:color w:val="000000"/>
              </w:rPr>
            </w:pPr>
            <w:r>
              <w:rPr>
                <w:rFonts w:ascii="Calibri" w:hAnsi="Calibri" w:cs="Calibri"/>
                <w:color w:val="000000"/>
              </w:rPr>
              <w:t>31/03/2030</w:t>
            </w:r>
          </w:p>
          <w:p w14:paraId="368FCDAC" w14:textId="77777777" w:rsidR="00B8280E" w:rsidRPr="008775B6" w:rsidRDefault="00B8280E" w:rsidP="0039258C"/>
        </w:tc>
      </w:tr>
      <w:tr w:rsidR="00DD086F" w14:paraId="00124283" w14:textId="77777777" w:rsidTr="004B0607">
        <w:trPr>
          <w:tblCellSpacing w:w="11" w:type="dxa"/>
        </w:trPr>
        <w:tc>
          <w:tcPr>
            <w:tcW w:w="1129" w:type="dxa"/>
            <w:tcBorders>
              <w:top w:val="single" w:sz="4" w:space="0" w:color="auto"/>
              <w:left w:val="single" w:sz="4" w:space="0" w:color="auto"/>
              <w:bottom w:val="single" w:sz="4" w:space="0" w:color="auto"/>
              <w:right w:val="single" w:sz="4" w:space="0" w:color="auto"/>
            </w:tcBorders>
            <w:vAlign w:val="center"/>
          </w:tcPr>
          <w:p w14:paraId="1FB46FDD" w14:textId="165CA118" w:rsidR="00DD086F" w:rsidRDefault="00DD086F" w:rsidP="0039258C">
            <w:pPr>
              <w:spacing w:after="0" w:line="240" w:lineRule="auto"/>
              <w:jc w:val="center"/>
              <w:rPr>
                <w:rFonts w:ascii="Calibri" w:hAnsi="Calibri" w:cs="Calibri"/>
                <w:b/>
                <w:bCs/>
                <w:color w:val="000000"/>
              </w:rPr>
            </w:pPr>
            <w:r>
              <w:rPr>
                <w:rFonts w:ascii="Calibri" w:hAnsi="Calibri" w:cs="Calibri"/>
                <w:b/>
                <w:bCs/>
                <w:color w:val="000000"/>
              </w:rPr>
              <w:t>24/T2/12</w:t>
            </w:r>
          </w:p>
        </w:tc>
        <w:tc>
          <w:tcPr>
            <w:tcW w:w="5845" w:type="dxa"/>
          </w:tcPr>
          <w:p w14:paraId="68342762" w14:textId="378AE8B5" w:rsidR="00DD086F" w:rsidRPr="00B8280E" w:rsidRDefault="00B8280E" w:rsidP="00B8280E">
            <w:pPr>
              <w:spacing w:after="0" w:line="240" w:lineRule="auto"/>
              <w:rPr>
                <w:rFonts w:ascii="Calibri" w:hAnsi="Calibri" w:cs="Calibri"/>
                <w:color w:val="000000"/>
              </w:rPr>
            </w:pPr>
            <w:r>
              <w:rPr>
                <w:rFonts w:ascii="Calibri" w:hAnsi="Calibri" w:cs="Calibri"/>
                <w:color w:val="000000"/>
              </w:rPr>
              <w:t xml:space="preserve">Reduce, redirect and maximise impact of methane inhibitors – in vitro/in situ and </w:t>
            </w:r>
            <w:r w:rsidR="00647F33">
              <w:rPr>
                <w:rFonts w:ascii="Calibri" w:hAnsi="Calibri" w:cs="Calibri"/>
                <w:color w:val="000000"/>
              </w:rPr>
              <w:t>long-term</w:t>
            </w:r>
            <w:r>
              <w:rPr>
                <w:rFonts w:ascii="Calibri" w:hAnsi="Calibri" w:cs="Calibri"/>
                <w:color w:val="000000"/>
              </w:rPr>
              <w:t xml:space="preserve"> beef production systems (BeefCH4)</w:t>
            </w:r>
          </w:p>
        </w:tc>
        <w:tc>
          <w:tcPr>
            <w:tcW w:w="5495" w:type="dxa"/>
          </w:tcPr>
          <w:p w14:paraId="6030A2FE" w14:textId="77777777" w:rsidR="00DA5EF1" w:rsidRDefault="00DA5EF1" w:rsidP="00DA5EF1">
            <w:r>
              <w:t xml:space="preserve">This project aims to improve resilience and sustainability of the beef industry through identification, selection, verification, and application of methane supressing feed additive strategies for direct reductions in carbon emissions from the beef sector –including dairy origin beef. </w:t>
            </w:r>
          </w:p>
          <w:p w14:paraId="33D7B9FD" w14:textId="670E3E98" w:rsidR="00DD086F" w:rsidRPr="00DA568F" w:rsidRDefault="00DA5EF1" w:rsidP="00647F33">
            <w:r>
              <w:t xml:space="preserve">In a ruminant gastrointestinal tract (GIT), the rumen is where feed is fermented by the microbiome and most of the methane formed. The supplementation of methane supressing feed additives may result in a buildup of unusual fermentation intermediates, potentially adversely affecting the rumen health and function. The rumen health of an animal will determine animal performance and can have a long-lasting impact on immune system development and function. This is an important </w:t>
            </w:r>
            <w:r>
              <w:lastRenderedPageBreak/>
              <w:t>consideration, given the economic impact of disease and associated environmental and welfare implications. The microbiome has also been linked to behavioural development in beef cattle, with improvements in meat quality and production. This study will use methane supressing feed additives over a complete cycle (last third of gestation (dams), birth and finishing). This will allow the long-term usage of these additives to be assessed, and the interactions between additives with differing modes of action, and how single and/or combined additives might respond at specific stages of development or with specific diet types.</w:t>
            </w:r>
          </w:p>
        </w:tc>
        <w:tc>
          <w:tcPr>
            <w:tcW w:w="1479" w:type="dxa"/>
          </w:tcPr>
          <w:p w14:paraId="74717F97" w14:textId="77777777" w:rsidR="00DD086F" w:rsidRDefault="00DD086F" w:rsidP="0039258C"/>
          <w:p w14:paraId="33482AED" w14:textId="77777777" w:rsidR="00F174DD" w:rsidRDefault="00F174DD" w:rsidP="00F174DD">
            <w:pPr>
              <w:spacing w:after="0" w:line="240" w:lineRule="auto"/>
              <w:rPr>
                <w:rFonts w:ascii="Calibri" w:hAnsi="Calibri" w:cs="Calibri"/>
                <w:color w:val="000000"/>
              </w:rPr>
            </w:pPr>
            <w:r>
              <w:rPr>
                <w:rFonts w:ascii="Calibri" w:hAnsi="Calibri" w:cs="Calibri"/>
                <w:color w:val="000000"/>
              </w:rPr>
              <w:t>30/04/2029</w:t>
            </w:r>
          </w:p>
          <w:p w14:paraId="7606DB26" w14:textId="77777777" w:rsidR="00B8280E" w:rsidRPr="008775B6" w:rsidRDefault="00B8280E" w:rsidP="0039258C"/>
        </w:tc>
      </w:tr>
      <w:tr w:rsidR="00DD086F" w14:paraId="7FC26CCE" w14:textId="77777777" w:rsidTr="004B0607">
        <w:trPr>
          <w:tblCellSpacing w:w="11" w:type="dxa"/>
        </w:trPr>
        <w:tc>
          <w:tcPr>
            <w:tcW w:w="1129" w:type="dxa"/>
            <w:tcBorders>
              <w:top w:val="single" w:sz="4" w:space="0" w:color="auto"/>
              <w:left w:val="single" w:sz="4" w:space="0" w:color="auto"/>
              <w:bottom w:val="single" w:sz="4" w:space="0" w:color="auto"/>
              <w:right w:val="single" w:sz="4" w:space="0" w:color="auto"/>
            </w:tcBorders>
            <w:vAlign w:val="center"/>
          </w:tcPr>
          <w:p w14:paraId="1C08F59B" w14:textId="08EC8BC2" w:rsidR="00DD086F" w:rsidRDefault="00DD086F" w:rsidP="0039258C">
            <w:pPr>
              <w:spacing w:after="0" w:line="240" w:lineRule="auto"/>
              <w:jc w:val="center"/>
              <w:rPr>
                <w:rFonts w:ascii="Calibri" w:hAnsi="Calibri" w:cs="Calibri"/>
                <w:b/>
                <w:bCs/>
                <w:color w:val="000000"/>
              </w:rPr>
            </w:pPr>
            <w:r>
              <w:rPr>
                <w:rFonts w:ascii="Calibri" w:hAnsi="Calibri" w:cs="Calibri"/>
                <w:b/>
                <w:bCs/>
                <w:color w:val="000000"/>
              </w:rPr>
              <w:t>24/T2/13</w:t>
            </w:r>
          </w:p>
        </w:tc>
        <w:tc>
          <w:tcPr>
            <w:tcW w:w="5845" w:type="dxa"/>
          </w:tcPr>
          <w:p w14:paraId="0F690B8E" w14:textId="77777777" w:rsidR="00F174DD" w:rsidRDefault="00F174DD" w:rsidP="00F174DD">
            <w:pPr>
              <w:spacing w:after="0" w:line="240" w:lineRule="auto"/>
              <w:rPr>
                <w:rFonts w:ascii="Calibri" w:hAnsi="Calibri" w:cs="Calibri"/>
                <w:color w:val="000000"/>
              </w:rPr>
            </w:pPr>
            <w:r>
              <w:rPr>
                <w:rFonts w:ascii="Calibri" w:hAnsi="Calibri" w:cs="Calibri"/>
                <w:color w:val="000000"/>
              </w:rPr>
              <w:t>Evaluation and optimisation of the financial and environmental impacts of protein crops, supported through the Protein Crops Scheme.</w:t>
            </w:r>
          </w:p>
          <w:p w14:paraId="1EC30C15" w14:textId="77777777" w:rsidR="00DD086F" w:rsidRPr="002515A3" w:rsidRDefault="00DD086F" w:rsidP="0039258C"/>
        </w:tc>
        <w:tc>
          <w:tcPr>
            <w:tcW w:w="5495" w:type="dxa"/>
          </w:tcPr>
          <w:p w14:paraId="04BD7D26" w14:textId="4B3D1336" w:rsidR="006D0660" w:rsidRDefault="006D0660" w:rsidP="006D0660">
            <w:r>
              <w:t xml:space="preserve">Growing protein crops have numerous beneficial impacts for crop rotations, biodiversity, reducing fertiliser use and to decrease the number of imported proteins into Northern Ireland. However, protein crops often exhibit high yield variability which translates to unstable financial returns. For these reasons an incentive was introduced which increased the areas sown considerably. Therefore, the incentivising of these crops for their benefits directly link to sustainable agricultural improvement to create sustainable and resilient food systems. In response to the most recent spike in fertiliser prices (2022-2023) farmers sought to reduce their reliance on N fertiliser through increased prevalence of protein crops in rotations which was observed in the increase in 2022 and 2023. This demonstrates that the scheme facilitates a more climate </w:t>
            </w:r>
            <w:r>
              <w:lastRenderedPageBreak/>
              <w:t xml:space="preserve">neutral agriculture sector with improved resilience to external shocks. </w:t>
            </w:r>
          </w:p>
          <w:p w14:paraId="4C66E29A" w14:textId="2B328C4F" w:rsidR="006D0660" w:rsidRDefault="006D0660" w:rsidP="006D0660">
            <w:r>
              <w:t>The project key objectives are to:</w:t>
            </w:r>
          </w:p>
          <w:p w14:paraId="221000E5" w14:textId="77777777" w:rsidR="006D0660" w:rsidRDefault="006D0660" w:rsidP="006D0660">
            <w:r>
              <w:t>1.</w:t>
            </w:r>
            <w:r>
              <w:tab/>
              <w:t>quantify the amount of protein produced by the PCS and estimate the offset of imported soya,</w:t>
            </w:r>
          </w:p>
          <w:p w14:paraId="5AFF0797" w14:textId="77777777" w:rsidR="006D0660" w:rsidRDefault="006D0660" w:rsidP="006D0660">
            <w:r>
              <w:t>2.</w:t>
            </w:r>
            <w:r>
              <w:tab/>
              <w:t xml:space="preserve">estimate the reduction of nitrogen fertiliser from this scheme, </w:t>
            </w:r>
          </w:p>
          <w:p w14:paraId="04D300C1" w14:textId="77777777" w:rsidR="006D0660" w:rsidRDefault="006D0660" w:rsidP="006D0660">
            <w:r>
              <w:t>3.</w:t>
            </w:r>
            <w:r>
              <w:tab/>
              <w:t xml:space="preserve">estimate biodiversity and other ecosystem services arising from the cultivation of protein crops, and </w:t>
            </w:r>
          </w:p>
          <w:p w14:paraId="365F22D9" w14:textId="3385B30B" w:rsidR="006D0660" w:rsidRDefault="006D0660" w:rsidP="006D0660">
            <w:r>
              <w:t>4.</w:t>
            </w:r>
            <w:r>
              <w:tab/>
              <w:t xml:space="preserve">suggest future iterations to this scheme through looking at other schemes. </w:t>
            </w:r>
          </w:p>
          <w:p w14:paraId="3BB35420" w14:textId="28843B11" w:rsidR="00DD086F" w:rsidRPr="00DA568F" w:rsidRDefault="00DD086F" w:rsidP="006D0660"/>
        </w:tc>
        <w:tc>
          <w:tcPr>
            <w:tcW w:w="1479" w:type="dxa"/>
          </w:tcPr>
          <w:p w14:paraId="0F5DE8F0" w14:textId="77777777" w:rsidR="00F174DD" w:rsidRDefault="00F174DD" w:rsidP="00F174DD">
            <w:pPr>
              <w:spacing w:after="0" w:line="240" w:lineRule="auto"/>
              <w:rPr>
                <w:rFonts w:ascii="Calibri" w:hAnsi="Calibri" w:cs="Calibri"/>
                <w:color w:val="000000"/>
              </w:rPr>
            </w:pPr>
            <w:r>
              <w:rPr>
                <w:rFonts w:ascii="Calibri" w:hAnsi="Calibri" w:cs="Calibri"/>
                <w:color w:val="000000"/>
              </w:rPr>
              <w:lastRenderedPageBreak/>
              <w:t>31/05/2027</w:t>
            </w:r>
          </w:p>
          <w:p w14:paraId="1210F538" w14:textId="77777777" w:rsidR="00DD086F" w:rsidRDefault="00DD086F" w:rsidP="0039258C"/>
          <w:p w14:paraId="69AF28F0" w14:textId="77777777" w:rsidR="00F174DD" w:rsidRPr="008775B6" w:rsidRDefault="00F174DD" w:rsidP="0039258C"/>
        </w:tc>
      </w:tr>
      <w:tr w:rsidR="00DD086F" w14:paraId="2D372C73" w14:textId="77777777" w:rsidTr="004B0607">
        <w:trPr>
          <w:tblCellSpacing w:w="11" w:type="dxa"/>
        </w:trPr>
        <w:tc>
          <w:tcPr>
            <w:tcW w:w="1129" w:type="dxa"/>
            <w:tcBorders>
              <w:top w:val="single" w:sz="4" w:space="0" w:color="auto"/>
              <w:left w:val="single" w:sz="4" w:space="0" w:color="auto"/>
              <w:bottom w:val="single" w:sz="4" w:space="0" w:color="auto"/>
              <w:right w:val="single" w:sz="4" w:space="0" w:color="auto"/>
            </w:tcBorders>
            <w:vAlign w:val="center"/>
          </w:tcPr>
          <w:p w14:paraId="57792431" w14:textId="6E9984CE" w:rsidR="00DD086F" w:rsidRDefault="00DD086F" w:rsidP="0039258C">
            <w:pPr>
              <w:spacing w:after="0" w:line="240" w:lineRule="auto"/>
              <w:jc w:val="center"/>
              <w:rPr>
                <w:rFonts w:ascii="Calibri" w:hAnsi="Calibri" w:cs="Calibri"/>
                <w:b/>
                <w:bCs/>
                <w:color w:val="000000"/>
              </w:rPr>
            </w:pPr>
            <w:r>
              <w:rPr>
                <w:rFonts w:ascii="Calibri" w:hAnsi="Calibri" w:cs="Calibri"/>
                <w:b/>
                <w:bCs/>
                <w:color w:val="000000"/>
              </w:rPr>
              <w:t>24/T2/16</w:t>
            </w:r>
          </w:p>
        </w:tc>
        <w:tc>
          <w:tcPr>
            <w:tcW w:w="5845" w:type="dxa"/>
          </w:tcPr>
          <w:p w14:paraId="5D6E4171" w14:textId="7352C0D6" w:rsidR="00DD086F" w:rsidRPr="00F174DD" w:rsidRDefault="00F174DD" w:rsidP="00F174DD">
            <w:pPr>
              <w:spacing w:after="0" w:line="240" w:lineRule="auto"/>
              <w:rPr>
                <w:rFonts w:ascii="Calibri" w:hAnsi="Calibri" w:cs="Calibri"/>
                <w:color w:val="000000"/>
              </w:rPr>
            </w:pPr>
            <w:r>
              <w:rPr>
                <w:rFonts w:ascii="Calibri" w:hAnsi="Calibri" w:cs="Calibri"/>
                <w:color w:val="000000"/>
              </w:rPr>
              <w:t>Using economic modelling frameworks to develop and test policy interventions and to assess their impacts – Farm income stability. - Project Title: Assessing Beef and Sheep Income Instability at the Farm Level (InBAS)</w:t>
            </w:r>
          </w:p>
        </w:tc>
        <w:tc>
          <w:tcPr>
            <w:tcW w:w="5495" w:type="dxa"/>
          </w:tcPr>
          <w:p w14:paraId="0D0469F8" w14:textId="2E79E2F9" w:rsidR="006D0660" w:rsidRDefault="006D0660" w:rsidP="006D0660">
            <w:r>
              <w:t>The overall objective of this project is to improve understanding of economic resilience by exploring income stability measures and the associated effects for NI beef and sheep farm sector. The beef and sheep sector is of particular interest because it is the sector most reliant on government support in terms of subsidies.</w:t>
            </w:r>
          </w:p>
          <w:p w14:paraId="33099839" w14:textId="15052FC5" w:rsidR="006D0660" w:rsidRDefault="006D0660" w:rsidP="006D0660">
            <w:r>
              <w:t xml:space="preserve"> This overall objective will be addressed through the following work packages (WP): </w:t>
            </w:r>
          </w:p>
          <w:p w14:paraId="2BEA5647" w14:textId="73DAB997" w:rsidR="006D0660" w:rsidRDefault="006D0660" w:rsidP="006D0660">
            <w:r>
              <w:t>I.</w:t>
            </w:r>
            <w:r>
              <w:tab/>
              <w:t xml:space="preserve">WP 1: Investigate measures of Farm Business Income (FBI) stability. </w:t>
            </w:r>
          </w:p>
          <w:p w14:paraId="13F69BB4" w14:textId="353A5D08" w:rsidR="006D0660" w:rsidRDefault="006D0660" w:rsidP="006D0660">
            <w:r>
              <w:lastRenderedPageBreak/>
              <w:t>II.</w:t>
            </w:r>
            <w:r>
              <w:tab/>
              <w:t xml:space="preserve">WP2: Analyse effects of farming practices and subsidies on the stability of farm income in the NI beef and sheep farm sector using regression analysis. </w:t>
            </w:r>
          </w:p>
          <w:p w14:paraId="69D17D7D" w14:textId="3E266FFB" w:rsidR="00DD086F" w:rsidRPr="00DA568F" w:rsidRDefault="006D0660" w:rsidP="00647F33">
            <w:r>
              <w:t>III.</w:t>
            </w:r>
            <w:r>
              <w:tab/>
              <w:t xml:space="preserve">WP3: This WP will explore a further economic modelling framework (or modification of the framework in WP 1) that examines the relationship between farm income and key factors impacting downside risk exposure (low income or low yields).  </w:t>
            </w:r>
          </w:p>
        </w:tc>
        <w:tc>
          <w:tcPr>
            <w:tcW w:w="1479" w:type="dxa"/>
          </w:tcPr>
          <w:p w14:paraId="0CA9FB4A" w14:textId="77777777" w:rsidR="00DD086F" w:rsidRDefault="00DD086F" w:rsidP="0039258C"/>
          <w:p w14:paraId="30551CF7" w14:textId="77777777" w:rsidR="00F174DD" w:rsidRDefault="00F174DD" w:rsidP="00F174DD">
            <w:pPr>
              <w:spacing w:after="0" w:line="240" w:lineRule="auto"/>
              <w:rPr>
                <w:rFonts w:ascii="Calibri" w:hAnsi="Calibri" w:cs="Calibri"/>
                <w:color w:val="000000"/>
              </w:rPr>
            </w:pPr>
            <w:r>
              <w:rPr>
                <w:rFonts w:ascii="Calibri" w:hAnsi="Calibri" w:cs="Calibri"/>
                <w:color w:val="000000"/>
              </w:rPr>
              <w:t>30/09/2027</w:t>
            </w:r>
          </w:p>
          <w:p w14:paraId="24C824C4" w14:textId="77777777" w:rsidR="00F174DD" w:rsidRPr="008775B6" w:rsidRDefault="00F174DD" w:rsidP="0039258C"/>
        </w:tc>
      </w:tr>
      <w:tr w:rsidR="0039258C" w14:paraId="03443907" w14:textId="77777777" w:rsidTr="004B0607">
        <w:trPr>
          <w:tblCellSpacing w:w="11" w:type="dxa"/>
        </w:trPr>
        <w:tc>
          <w:tcPr>
            <w:tcW w:w="1129" w:type="dxa"/>
            <w:tcBorders>
              <w:top w:val="single" w:sz="4" w:space="0" w:color="auto"/>
              <w:left w:val="single" w:sz="4" w:space="0" w:color="auto"/>
              <w:bottom w:val="single" w:sz="4" w:space="0" w:color="auto"/>
              <w:right w:val="single" w:sz="4" w:space="0" w:color="auto"/>
            </w:tcBorders>
            <w:vAlign w:val="center"/>
          </w:tcPr>
          <w:p w14:paraId="38B11242" w14:textId="71A07CB3" w:rsidR="0039258C" w:rsidRDefault="0039258C" w:rsidP="0039258C">
            <w:pPr>
              <w:spacing w:after="0" w:line="240" w:lineRule="auto"/>
              <w:jc w:val="center"/>
              <w:rPr>
                <w:rFonts w:ascii="Calibri" w:hAnsi="Calibri" w:cs="Calibri"/>
                <w:b/>
                <w:bCs/>
                <w:color w:val="000000"/>
              </w:rPr>
            </w:pPr>
          </w:p>
        </w:tc>
        <w:tc>
          <w:tcPr>
            <w:tcW w:w="5845" w:type="dxa"/>
          </w:tcPr>
          <w:p w14:paraId="7C163588" w14:textId="34DCC203" w:rsidR="0039258C" w:rsidRPr="002515A3" w:rsidRDefault="0039258C" w:rsidP="0039258C"/>
        </w:tc>
        <w:tc>
          <w:tcPr>
            <w:tcW w:w="5495" w:type="dxa"/>
          </w:tcPr>
          <w:p w14:paraId="7B108E26" w14:textId="140BAA29" w:rsidR="0039258C" w:rsidRPr="00DA568F" w:rsidRDefault="0039258C" w:rsidP="0039258C"/>
        </w:tc>
        <w:tc>
          <w:tcPr>
            <w:tcW w:w="1479" w:type="dxa"/>
          </w:tcPr>
          <w:p w14:paraId="452A4FCD" w14:textId="1E8B9BCC" w:rsidR="0039258C" w:rsidRPr="008775B6" w:rsidRDefault="0039258C" w:rsidP="0039258C"/>
        </w:tc>
      </w:tr>
      <w:tr w:rsidR="0039258C" w14:paraId="4FC7DFB7" w14:textId="77777777" w:rsidTr="004B0607">
        <w:trPr>
          <w:tblCellSpacing w:w="11" w:type="dxa"/>
        </w:trPr>
        <w:tc>
          <w:tcPr>
            <w:tcW w:w="1129" w:type="dxa"/>
            <w:tcBorders>
              <w:top w:val="nil"/>
              <w:left w:val="single" w:sz="4" w:space="0" w:color="auto"/>
              <w:bottom w:val="single" w:sz="4" w:space="0" w:color="auto"/>
              <w:right w:val="single" w:sz="4" w:space="0" w:color="auto"/>
            </w:tcBorders>
            <w:vAlign w:val="center"/>
          </w:tcPr>
          <w:p w14:paraId="6B4C74F1" w14:textId="5875FB77" w:rsidR="0039258C" w:rsidRDefault="0039258C" w:rsidP="0039258C">
            <w:pPr>
              <w:jc w:val="center"/>
              <w:rPr>
                <w:rFonts w:ascii="Calibri" w:hAnsi="Calibri" w:cs="Calibri"/>
                <w:b/>
                <w:bCs/>
                <w:color w:val="000000"/>
              </w:rPr>
            </w:pPr>
            <w:r>
              <w:rPr>
                <w:rFonts w:ascii="Calibri" w:hAnsi="Calibri" w:cs="Calibri"/>
                <w:b/>
                <w:bCs/>
                <w:color w:val="000000"/>
              </w:rPr>
              <w:t>2</w:t>
            </w:r>
            <w:r w:rsidR="00DD086F">
              <w:rPr>
                <w:rFonts w:ascii="Calibri" w:hAnsi="Calibri" w:cs="Calibri"/>
                <w:b/>
                <w:bCs/>
                <w:color w:val="000000"/>
              </w:rPr>
              <w:t>4</w:t>
            </w:r>
            <w:r w:rsidR="00C70D45">
              <w:rPr>
                <w:rFonts w:ascii="Calibri" w:hAnsi="Calibri" w:cs="Calibri"/>
                <w:b/>
                <w:bCs/>
                <w:color w:val="000000"/>
              </w:rPr>
              <w:t>/</w:t>
            </w:r>
            <w:r w:rsidR="00DD086F">
              <w:rPr>
                <w:rFonts w:ascii="Calibri" w:hAnsi="Calibri" w:cs="Calibri"/>
                <w:b/>
                <w:bCs/>
                <w:color w:val="000000"/>
              </w:rPr>
              <w:t>T3</w:t>
            </w:r>
            <w:r w:rsidR="00C70D45">
              <w:rPr>
                <w:rFonts w:ascii="Calibri" w:hAnsi="Calibri" w:cs="Calibri"/>
                <w:b/>
                <w:bCs/>
                <w:color w:val="000000"/>
              </w:rPr>
              <w:t>/0</w:t>
            </w:r>
            <w:r w:rsidR="00DD086F">
              <w:rPr>
                <w:rFonts w:ascii="Calibri" w:hAnsi="Calibri" w:cs="Calibri"/>
                <w:b/>
                <w:bCs/>
                <w:color w:val="000000"/>
              </w:rPr>
              <w:t>2</w:t>
            </w:r>
          </w:p>
        </w:tc>
        <w:tc>
          <w:tcPr>
            <w:tcW w:w="5845" w:type="dxa"/>
          </w:tcPr>
          <w:p w14:paraId="6F2F329E" w14:textId="31226624" w:rsidR="0039258C" w:rsidRPr="00F174DD" w:rsidRDefault="00F174DD" w:rsidP="00F174DD">
            <w:pPr>
              <w:spacing w:after="0" w:line="240" w:lineRule="auto"/>
              <w:rPr>
                <w:rFonts w:ascii="Calibri" w:hAnsi="Calibri" w:cs="Calibri"/>
                <w:color w:val="000000"/>
              </w:rPr>
            </w:pPr>
            <w:r>
              <w:rPr>
                <w:rFonts w:ascii="Calibri" w:hAnsi="Calibri" w:cs="Calibri"/>
                <w:color w:val="000000"/>
              </w:rPr>
              <w:t>Implementation of a core IT-genomics infrastructure for one health genomics.</w:t>
            </w:r>
          </w:p>
        </w:tc>
        <w:tc>
          <w:tcPr>
            <w:tcW w:w="5495" w:type="dxa"/>
          </w:tcPr>
          <w:p w14:paraId="525700AD" w14:textId="4FE8A732" w:rsidR="006A2034" w:rsidRPr="006A2034" w:rsidRDefault="006A2034" w:rsidP="006A2034">
            <w:r w:rsidRPr="006A2034">
              <w:t xml:space="preserve">The proposed project aims to develop and benchmark new, flexible bioinformatic pipelines for processing pathogen WGS data and to scope their usage / implementation in cloud-based IT infrastructure to enhance infectious disease surveillance.  All this will be assessed using large-scale WGS survey data for M. bovis and Salmonella spp. assembled in this, and prior, DAERA funded research projects, covering livestock, food and environmental samples. This research will be carried out in three work packages capitalising on capacity and infrastructure building, future-directed methodologies and knowledge transfer.  </w:t>
            </w:r>
          </w:p>
          <w:p w14:paraId="6EC1E10F" w14:textId="77777777" w:rsidR="006A2034" w:rsidRPr="006A2034" w:rsidRDefault="006A2034" w:rsidP="006A2034">
            <w:r w:rsidRPr="006A2034">
              <w:t xml:space="preserve">Objective 1: to develop a new streamlined, analytical pipeline for WGS analysis of any bacterial pathogen of ‘One Health’ importance and benchmark its performance </w:t>
            </w:r>
            <w:r w:rsidRPr="006A2034">
              <w:lastRenderedPageBreak/>
              <w:t>using existing bovine TB, Salmonella and AMR surveillance data collected from ongoing AWP and research projects.</w:t>
            </w:r>
          </w:p>
          <w:p w14:paraId="29CB16BA" w14:textId="77777777" w:rsidR="006A2034" w:rsidRPr="006A2034" w:rsidRDefault="006A2034" w:rsidP="006A2034">
            <w:r w:rsidRPr="006A2034">
              <w:t>Objective 2: To undertake an assessment of likely future bacterial genomics analytical needs (data volumes and storage, data protection impact assessments, data share protocols) to scope the future specification of an improved IT infrastructure for pathogen genomics (APHA-cloud computing facility as a model) and present a report to AFBI IT with infrastructure requirements.</w:t>
            </w:r>
          </w:p>
          <w:p w14:paraId="00B5CBEB" w14:textId="5A13081C" w:rsidR="004C17C1" w:rsidRPr="006A2034" w:rsidRDefault="006A2034" w:rsidP="00647F33">
            <w:r w:rsidRPr="006A2034">
              <w:t>Objective 3: To plan and build a baseline WGS dataset of M. bovis isolates (~ 500) systematically sampled and sequenced across the provinces to capture extant M. bovis diversity in space and time (a potential NI biobank resource). Dataset will be used to test the potential alternative IT (cloud computing) facility, provide training for AFBI staff and alert field veterinarians, epidemiologists, and policy makers with precise routine genomic surveillance results rapidly.</w:t>
            </w:r>
          </w:p>
        </w:tc>
        <w:tc>
          <w:tcPr>
            <w:tcW w:w="1479" w:type="dxa"/>
          </w:tcPr>
          <w:p w14:paraId="6B9E8103" w14:textId="77777777" w:rsidR="00F174DD" w:rsidRDefault="00F174DD" w:rsidP="00F174DD">
            <w:pPr>
              <w:spacing w:after="0" w:line="240" w:lineRule="auto"/>
              <w:rPr>
                <w:rFonts w:ascii="Calibri" w:hAnsi="Calibri" w:cs="Calibri"/>
                <w:color w:val="000000"/>
              </w:rPr>
            </w:pPr>
          </w:p>
          <w:p w14:paraId="37CD1AB8" w14:textId="316E32C5" w:rsidR="00F174DD" w:rsidRDefault="00F174DD" w:rsidP="00F174DD">
            <w:pPr>
              <w:spacing w:after="0" w:line="240" w:lineRule="auto"/>
              <w:rPr>
                <w:rFonts w:ascii="Calibri" w:hAnsi="Calibri" w:cs="Calibri"/>
                <w:color w:val="000000"/>
              </w:rPr>
            </w:pPr>
            <w:r>
              <w:rPr>
                <w:rFonts w:ascii="Calibri" w:hAnsi="Calibri" w:cs="Calibri"/>
                <w:color w:val="000000"/>
              </w:rPr>
              <w:t>31/03/2028</w:t>
            </w:r>
          </w:p>
          <w:p w14:paraId="595C94DE" w14:textId="1DB94438" w:rsidR="0039258C" w:rsidRPr="008775B6" w:rsidRDefault="0039258C" w:rsidP="0039258C"/>
        </w:tc>
      </w:tr>
      <w:tr w:rsidR="0039258C" w14:paraId="310B7AA6" w14:textId="77777777" w:rsidTr="004B0607">
        <w:trPr>
          <w:tblCellSpacing w:w="11" w:type="dxa"/>
        </w:trPr>
        <w:tc>
          <w:tcPr>
            <w:tcW w:w="1129" w:type="dxa"/>
            <w:tcBorders>
              <w:top w:val="nil"/>
              <w:left w:val="single" w:sz="4" w:space="0" w:color="auto"/>
              <w:bottom w:val="single" w:sz="4" w:space="0" w:color="auto"/>
              <w:right w:val="single" w:sz="4" w:space="0" w:color="auto"/>
            </w:tcBorders>
            <w:vAlign w:val="center"/>
          </w:tcPr>
          <w:p w14:paraId="41DE5755" w14:textId="71A2952A" w:rsidR="0039258C" w:rsidRDefault="00DD086F" w:rsidP="0039258C">
            <w:pPr>
              <w:jc w:val="center"/>
              <w:rPr>
                <w:rFonts w:ascii="Calibri" w:hAnsi="Calibri" w:cs="Calibri"/>
                <w:b/>
                <w:bCs/>
                <w:color w:val="000000"/>
              </w:rPr>
            </w:pPr>
            <w:r>
              <w:rPr>
                <w:rFonts w:ascii="Calibri" w:hAnsi="Calibri" w:cs="Calibri"/>
                <w:b/>
                <w:bCs/>
                <w:color w:val="000000"/>
              </w:rPr>
              <w:t>24/T3/03</w:t>
            </w:r>
          </w:p>
        </w:tc>
        <w:tc>
          <w:tcPr>
            <w:tcW w:w="5845" w:type="dxa"/>
          </w:tcPr>
          <w:p w14:paraId="09C92848" w14:textId="3E4279AD" w:rsidR="0039258C" w:rsidRPr="00F174DD" w:rsidRDefault="00F174DD" w:rsidP="00F174DD">
            <w:pPr>
              <w:spacing w:after="0" w:line="240" w:lineRule="auto"/>
              <w:rPr>
                <w:rFonts w:ascii="Calibri" w:hAnsi="Calibri" w:cs="Calibri"/>
                <w:color w:val="000000"/>
              </w:rPr>
            </w:pPr>
            <w:r>
              <w:rPr>
                <w:rFonts w:ascii="Calibri" w:hAnsi="Calibri" w:cs="Calibri"/>
                <w:color w:val="000000"/>
              </w:rPr>
              <w:t>Understanding antimicrobial resistance -Wastewater and bathing waters - AMR in water SPaRCs: Source Pathway Receptor Compartments</w:t>
            </w:r>
          </w:p>
        </w:tc>
        <w:tc>
          <w:tcPr>
            <w:tcW w:w="5495" w:type="dxa"/>
          </w:tcPr>
          <w:p w14:paraId="662E14C0" w14:textId="22A789DB" w:rsidR="00646486" w:rsidRDefault="00646486" w:rsidP="00646486">
            <w:r>
              <w:t xml:space="preserve">Bathing water quality in Northern Ireland is impacted by heavy rainfall, meteorological and hydrological conditions, which may cause run-off from agricultural fields or spillage of raw sewage into rivers. Faecal contamination of bathing waters not only increases the risk of human exposure to pathogenic bacteria but also to antimicrobial resistant bacteria. Antimicrobial resistance (AMR) is an urgent global challenge. It causes around 700,000 deaths each </w:t>
            </w:r>
            <w:r>
              <w:lastRenderedPageBreak/>
              <w:t>year globally. That is predicted to rise to 10 million by 2050 if no action is taken (https://www.nice.org.uk). An assessment of the microbiome of surface waters, that have been impacted by wastewater or agricultural run-off, should help to direct remediation projects to reduce the risk of exposure to hazardous bacteria in bathing waters.</w:t>
            </w:r>
          </w:p>
          <w:p w14:paraId="051B01D1" w14:textId="7A98F7FC" w:rsidR="004C17C1" w:rsidRPr="00DA568F" w:rsidRDefault="00646486" w:rsidP="00DA568F">
            <w:r>
              <w:t>The overall objectives of the project are to determine the sources of faecal contamination of rivers that may impact both fresh water and marine bathing water quality, to detect antimicrobial resistant bacteria and veterinary pathogens in these waters and assess whether these organisms are related to those found in people or domestic or wild animals.</w:t>
            </w:r>
          </w:p>
        </w:tc>
        <w:tc>
          <w:tcPr>
            <w:tcW w:w="1479" w:type="dxa"/>
          </w:tcPr>
          <w:p w14:paraId="20524EFC" w14:textId="77777777" w:rsidR="00F174DD" w:rsidRDefault="00F174DD" w:rsidP="00F174DD">
            <w:pPr>
              <w:spacing w:after="0" w:line="240" w:lineRule="auto"/>
              <w:rPr>
                <w:rFonts w:ascii="Calibri" w:hAnsi="Calibri" w:cs="Calibri"/>
                <w:color w:val="000000"/>
              </w:rPr>
            </w:pPr>
          </w:p>
          <w:p w14:paraId="3BD0F4CD" w14:textId="77EED445" w:rsidR="00F174DD" w:rsidRDefault="00F174DD" w:rsidP="00F174DD">
            <w:pPr>
              <w:spacing w:after="0" w:line="240" w:lineRule="auto"/>
              <w:rPr>
                <w:rFonts w:ascii="Calibri" w:hAnsi="Calibri" w:cs="Calibri"/>
                <w:color w:val="000000"/>
              </w:rPr>
            </w:pPr>
            <w:r>
              <w:rPr>
                <w:rFonts w:ascii="Calibri" w:hAnsi="Calibri" w:cs="Calibri"/>
                <w:color w:val="000000"/>
              </w:rPr>
              <w:t>31/03/2028</w:t>
            </w:r>
          </w:p>
          <w:p w14:paraId="7821501E" w14:textId="1B5C5D90" w:rsidR="0039258C" w:rsidRPr="008775B6" w:rsidRDefault="0039258C" w:rsidP="0039258C"/>
        </w:tc>
      </w:tr>
      <w:tr w:rsidR="0039258C" w14:paraId="7806DD5A" w14:textId="77777777" w:rsidTr="004B0607">
        <w:trPr>
          <w:tblCellSpacing w:w="11" w:type="dxa"/>
        </w:trPr>
        <w:tc>
          <w:tcPr>
            <w:tcW w:w="1129" w:type="dxa"/>
            <w:tcBorders>
              <w:top w:val="nil"/>
              <w:left w:val="single" w:sz="4" w:space="0" w:color="auto"/>
              <w:bottom w:val="single" w:sz="4" w:space="0" w:color="auto"/>
              <w:right w:val="single" w:sz="4" w:space="0" w:color="auto"/>
            </w:tcBorders>
            <w:vAlign w:val="center"/>
          </w:tcPr>
          <w:p w14:paraId="206CED93" w14:textId="7E19B627" w:rsidR="0039258C" w:rsidRDefault="00DD086F" w:rsidP="0039258C">
            <w:pPr>
              <w:jc w:val="center"/>
              <w:rPr>
                <w:rFonts w:ascii="Calibri" w:hAnsi="Calibri" w:cs="Calibri"/>
                <w:b/>
                <w:bCs/>
                <w:color w:val="000000"/>
              </w:rPr>
            </w:pPr>
            <w:r>
              <w:rPr>
                <w:rFonts w:ascii="Calibri" w:hAnsi="Calibri" w:cs="Calibri"/>
                <w:b/>
                <w:bCs/>
                <w:color w:val="000000"/>
              </w:rPr>
              <w:t>24/T3/04</w:t>
            </w:r>
          </w:p>
        </w:tc>
        <w:tc>
          <w:tcPr>
            <w:tcW w:w="5845" w:type="dxa"/>
          </w:tcPr>
          <w:p w14:paraId="0DE2EDE2" w14:textId="32916E95" w:rsidR="0039258C" w:rsidRPr="00F174DD" w:rsidRDefault="00F174DD" w:rsidP="00F174DD">
            <w:pPr>
              <w:spacing w:after="0" w:line="240" w:lineRule="auto"/>
              <w:rPr>
                <w:rFonts w:ascii="Calibri" w:hAnsi="Calibri" w:cs="Calibri"/>
                <w:color w:val="000000"/>
              </w:rPr>
            </w:pPr>
            <w:r>
              <w:rPr>
                <w:rFonts w:ascii="Calibri" w:hAnsi="Calibri" w:cs="Calibri"/>
                <w:color w:val="000000"/>
              </w:rPr>
              <w:t>Prevalence of AMR pathogens in wildlife and the environment through testing of faecal samples from foxes and badgers.</w:t>
            </w:r>
          </w:p>
        </w:tc>
        <w:tc>
          <w:tcPr>
            <w:tcW w:w="5495" w:type="dxa"/>
          </w:tcPr>
          <w:p w14:paraId="5B077E4A" w14:textId="77777777" w:rsidR="00646486" w:rsidRDefault="00646486" w:rsidP="00646486">
            <w:r>
              <w:t xml:space="preserve">The overall aim of this research project is to use existing and novel methodologies to identify and characterise pathogens isolated from fox and badger hosts in Northern Ireland. We aim to benefit from on two currently publicly funded surveillance schemes – badger (Meles meles) road traffic accident (RTA) surveillance, as part of the bovine tuberculosis (bTB) control and eradication scheme, and foxes (Vulpes vulpes) - collected as part of the annual Echinococcus multilocularis surveillance scheme. These programmes can be leveraged to obtain wildlife faecal samples, from both hosts, which can be screened using a variety of traditional and contemporary methods to </w:t>
            </w:r>
            <w:r>
              <w:lastRenderedPageBreak/>
              <w:t xml:space="preserve">isolate, identify, and profile antimicrobial resistant bacteria. </w:t>
            </w:r>
          </w:p>
          <w:p w14:paraId="55CCA388" w14:textId="48F90139" w:rsidR="0039258C" w:rsidRPr="00DA568F" w:rsidRDefault="0039258C" w:rsidP="00647F33"/>
        </w:tc>
        <w:tc>
          <w:tcPr>
            <w:tcW w:w="1479" w:type="dxa"/>
          </w:tcPr>
          <w:p w14:paraId="21A3DB5F" w14:textId="77777777" w:rsidR="00F174DD" w:rsidRDefault="00F174DD" w:rsidP="00F174DD">
            <w:pPr>
              <w:spacing w:after="0" w:line="240" w:lineRule="auto"/>
              <w:rPr>
                <w:rFonts w:ascii="Calibri" w:hAnsi="Calibri" w:cs="Calibri"/>
                <w:color w:val="000000"/>
              </w:rPr>
            </w:pPr>
          </w:p>
          <w:p w14:paraId="39A8AAF4" w14:textId="18D7960B" w:rsidR="00F174DD" w:rsidRDefault="00F174DD" w:rsidP="00F174DD">
            <w:pPr>
              <w:spacing w:after="0" w:line="240" w:lineRule="auto"/>
              <w:rPr>
                <w:rFonts w:ascii="Calibri" w:hAnsi="Calibri" w:cs="Calibri"/>
                <w:color w:val="000000"/>
              </w:rPr>
            </w:pPr>
            <w:r>
              <w:rPr>
                <w:rFonts w:ascii="Calibri" w:hAnsi="Calibri" w:cs="Calibri"/>
                <w:color w:val="000000"/>
              </w:rPr>
              <w:t>31/03/2028</w:t>
            </w:r>
          </w:p>
          <w:p w14:paraId="26AA8D99" w14:textId="59BD29CA" w:rsidR="0039258C" w:rsidRDefault="0039258C" w:rsidP="0039258C"/>
        </w:tc>
      </w:tr>
      <w:tr w:rsidR="0039258C" w14:paraId="0134F92F" w14:textId="77777777" w:rsidTr="004B0607">
        <w:trPr>
          <w:tblCellSpacing w:w="11" w:type="dxa"/>
        </w:trPr>
        <w:tc>
          <w:tcPr>
            <w:tcW w:w="1129" w:type="dxa"/>
            <w:tcBorders>
              <w:top w:val="nil"/>
              <w:left w:val="single" w:sz="4" w:space="0" w:color="auto"/>
              <w:bottom w:val="single" w:sz="4" w:space="0" w:color="auto"/>
              <w:right w:val="single" w:sz="4" w:space="0" w:color="auto"/>
            </w:tcBorders>
            <w:vAlign w:val="center"/>
          </w:tcPr>
          <w:p w14:paraId="3A66BD6E" w14:textId="723DE49E" w:rsidR="0039258C" w:rsidRDefault="00DD086F" w:rsidP="0039258C">
            <w:pPr>
              <w:jc w:val="center"/>
              <w:rPr>
                <w:rFonts w:ascii="Calibri" w:hAnsi="Calibri" w:cs="Calibri"/>
                <w:b/>
                <w:bCs/>
                <w:color w:val="000000"/>
              </w:rPr>
            </w:pPr>
            <w:r>
              <w:rPr>
                <w:rFonts w:ascii="Calibri" w:hAnsi="Calibri" w:cs="Calibri"/>
                <w:b/>
                <w:bCs/>
                <w:color w:val="000000"/>
              </w:rPr>
              <w:t>24/T3/06</w:t>
            </w:r>
          </w:p>
        </w:tc>
        <w:tc>
          <w:tcPr>
            <w:tcW w:w="5845" w:type="dxa"/>
          </w:tcPr>
          <w:p w14:paraId="127E08FE" w14:textId="5E6EE0EB" w:rsidR="0039258C" w:rsidRPr="00F174DD" w:rsidRDefault="00F174DD" w:rsidP="00F174DD">
            <w:pPr>
              <w:spacing w:after="0" w:line="240" w:lineRule="auto"/>
              <w:rPr>
                <w:rFonts w:ascii="Calibri" w:hAnsi="Calibri" w:cs="Calibri"/>
                <w:color w:val="000000"/>
              </w:rPr>
            </w:pPr>
            <w:r>
              <w:rPr>
                <w:rFonts w:ascii="Calibri" w:hAnsi="Calibri" w:cs="Calibri"/>
                <w:color w:val="000000"/>
              </w:rPr>
              <w:t>“Assessment of BVD infection risk metrics aiming to assist in the mitigation, control &amp; eventual eradication of BVD in Northern Ireland”</w:t>
            </w:r>
          </w:p>
        </w:tc>
        <w:tc>
          <w:tcPr>
            <w:tcW w:w="5495" w:type="dxa"/>
          </w:tcPr>
          <w:p w14:paraId="18C4DDC1" w14:textId="1A185117" w:rsidR="00646486" w:rsidRDefault="00646486" w:rsidP="00646486">
            <w:r>
              <w:t xml:space="preserve">Under the EU Animal Health Law (Regulation 689 Annex IV), BVD is a disease that is eligible for intervention, through the application of disease prevention and control rules; the NI BVD Eradication Programme is aligning with these rules, as it aims for EU recognition and ultimately BVD freedom. </w:t>
            </w:r>
          </w:p>
          <w:p w14:paraId="275DE673" w14:textId="77777777" w:rsidR="00646486" w:rsidRDefault="00646486" w:rsidP="00646486">
            <w:r>
              <w:t>The project will aim to use historic and emerging datasets to determine BVD infection risk factors in NI and in local hotspot areas. Datasets that it will use will include:</w:t>
            </w:r>
          </w:p>
          <w:p w14:paraId="585E8365" w14:textId="77777777" w:rsidR="00646486" w:rsidRDefault="00646486" w:rsidP="00646486">
            <w:r>
              <w:t>i.</w:t>
            </w:r>
            <w:r>
              <w:tab/>
              <w:t>Animal movements including animal type, herd origins and herd residencies.</w:t>
            </w:r>
          </w:p>
          <w:p w14:paraId="3CE3ADAE" w14:textId="77777777" w:rsidR="00646486" w:rsidRDefault="00646486" w:rsidP="00646486">
            <w:r>
              <w:t>ii.</w:t>
            </w:r>
            <w:r>
              <w:tab/>
              <w:t>Health metrics such as calf mortality/morbidity.</w:t>
            </w:r>
          </w:p>
          <w:p w14:paraId="058ACCF2" w14:textId="77777777" w:rsidR="00646486" w:rsidRDefault="00646486" w:rsidP="00646486">
            <w:r>
              <w:t>iii.</w:t>
            </w:r>
            <w:r>
              <w:tab/>
              <w:t>BVD case histories.</w:t>
            </w:r>
          </w:p>
          <w:p w14:paraId="38E5267F" w14:textId="77777777" w:rsidR="00646486" w:rsidRDefault="00646486" w:rsidP="00646486">
            <w:r>
              <w:t>iv.</w:t>
            </w:r>
            <w:r>
              <w:tab/>
              <w:t>Farm locations.</w:t>
            </w:r>
          </w:p>
          <w:p w14:paraId="4A02B406" w14:textId="77777777" w:rsidR="00646486" w:rsidRDefault="00646486" w:rsidP="00646486">
            <w:r>
              <w:t>v.</w:t>
            </w:r>
            <w:r>
              <w:tab/>
              <w:t>Birth data to identify locations where infection may have been acquired during the ‘window of susceptibility ‘ for PI development.</w:t>
            </w:r>
          </w:p>
          <w:p w14:paraId="64C11482" w14:textId="77777777" w:rsidR="00646486" w:rsidRDefault="00646486" w:rsidP="00646486">
            <w:r>
              <w:t>vi.</w:t>
            </w:r>
            <w:r>
              <w:tab/>
              <w:t>Where available medicines use including vaccine use.</w:t>
            </w:r>
          </w:p>
          <w:p w14:paraId="56DCE66E" w14:textId="37A5ED72" w:rsidR="00646486" w:rsidRDefault="00646486" w:rsidP="00646486">
            <w:r>
              <w:lastRenderedPageBreak/>
              <w:t>vii.      Seroprevalence data from animals less than 30 months sampled as part of routine abattoir surveillance.</w:t>
            </w:r>
          </w:p>
          <w:p w14:paraId="36929466" w14:textId="7392FD76" w:rsidR="00646486" w:rsidRDefault="00646486" w:rsidP="00646486">
            <w:r>
              <w:t>The project will use these datasets to explore:</w:t>
            </w:r>
          </w:p>
          <w:p w14:paraId="3053E000" w14:textId="77777777" w:rsidR="00646486" w:rsidRDefault="00646486" w:rsidP="00646486">
            <w:r>
              <w:t>i.</w:t>
            </w:r>
            <w:r>
              <w:tab/>
              <w:t xml:space="preserve">plausible routes of transmission including </w:t>
            </w:r>
          </w:p>
          <w:p w14:paraId="1CC53CC4" w14:textId="77777777" w:rsidR="00646486" w:rsidRDefault="00646486" w:rsidP="00646486">
            <w:r>
              <w:t>a.</w:t>
            </w:r>
            <w:r>
              <w:tab/>
              <w:t>Transmission from neighbouring cattle</w:t>
            </w:r>
          </w:p>
          <w:p w14:paraId="55B8D9BC" w14:textId="77777777" w:rsidR="00646486" w:rsidRDefault="00646486" w:rsidP="00646486">
            <w:r>
              <w:t>b.</w:t>
            </w:r>
            <w:r>
              <w:tab/>
              <w:t>Trojan infections</w:t>
            </w:r>
          </w:p>
          <w:p w14:paraId="2F85D36B" w14:textId="77777777" w:rsidR="00646486" w:rsidRDefault="00646486" w:rsidP="00646486">
            <w:r>
              <w:t>ii.</w:t>
            </w:r>
            <w:r>
              <w:tab/>
              <w:t>the role of transient infection in maintaining infection spread both within and between herds.</w:t>
            </w:r>
          </w:p>
          <w:p w14:paraId="082BBE8F" w14:textId="7BDC81B4" w:rsidR="0039258C" w:rsidRPr="00DA568F" w:rsidRDefault="00646486" w:rsidP="00F360BE">
            <w:r>
              <w:t>iii.</w:t>
            </w:r>
            <w:r>
              <w:tab/>
              <w:t>in the context of current programme controls what the main remaining drivers of infection spread are in order to provide a knowledge base to the programme on areas for specific focus to assist with the removal of residual infection within the NI herd.</w:t>
            </w:r>
          </w:p>
        </w:tc>
        <w:tc>
          <w:tcPr>
            <w:tcW w:w="1479" w:type="dxa"/>
          </w:tcPr>
          <w:p w14:paraId="34A2631F" w14:textId="77777777" w:rsidR="00F174DD" w:rsidRDefault="00F174DD" w:rsidP="00F174DD">
            <w:pPr>
              <w:spacing w:after="0" w:line="240" w:lineRule="auto"/>
              <w:rPr>
                <w:rFonts w:ascii="Calibri" w:hAnsi="Calibri" w:cs="Calibri"/>
                <w:color w:val="000000"/>
              </w:rPr>
            </w:pPr>
          </w:p>
          <w:p w14:paraId="51053F6D" w14:textId="1102D497" w:rsidR="00F174DD" w:rsidRDefault="00F174DD" w:rsidP="00F174DD">
            <w:pPr>
              <w:spacing w:after="0" w:line="240" w:lineRule="auto"/>
              <w:rPr>
                <w:rFonts w:ascii="Calibri" w:hAnsi="Calibri" w:cs="Calibri"/>
                <w:color w:val="000000"/>
              </w:rPr>
            </w:pPr>
            <w:r>
              <w:rPr>
                <w:rFonts w:ascii="Calibri" w:hAnsi="Calibri" w:cs="Calibri"/>
                <w:color w:val="000000"/>
              </w:rPr>
              <w:t>31/03/2028</w:t>
            </w:r>
          </w:p>
          <w:p w14:paraId="113A35F7" w14:textId="629FC4DB" w:rsidR="00F174DD" w:rsidRPr="007416C5" w:rsidRDefault="00F174DD" w:rsidP="0039258C"/>
        </w:tc>
      </w:tr>
      <w:tr w:rsidR="0039258C" w14:paraId="1FF95934" w14:textId="77777777" w:rsidTr="00B8280E">
        <w:trPr>
          <w:trHeight w:val="837"/>
          <w:tblCellSpacing w:w="11" w:type="dxa"/>
        </w:trPr>
        <w:tc>
          <w:tcPr>
            <w:tcW w:w="1129" w:type="dxa"/>
            <w:tcBorders>
              <w:top w:val="nil"/>
              <w:left w:val="single" w:sz="4" w:space="0" w:color="auto"/>
              <w:bottom w:val="single" w:sz="4" w:space="0" w:color="auto"/>
              <w:right w:val="single" w:sz="4" w:space="0" w:color="auto"/>
            </w:tcBorders>
            <w:vAlign w:val="center"/>
          </w:tcPr>
          <w:p w14:paraId="6848393E" w14:textId="3722431A" w:rsidR="0039258C" w:rsidRDefault="00DD086F" w:rsidP="0039258C">
            <w:pPr>
              <w:jc w:val="center"/>
              <w:rPr>
                <w:rFonts w:ascii="Calibri" w:hAnsi="Calibri" w:cs="Calibri"/>
                <w:b/>
                <w:bCs/>
                <w:color w:val="000000"/>
              </w:rPr>
            </w:pPr>
            <w:r>
              <w:rPr>
                <w:rFonts w:ascii="Calibri" w:hAnsi="Calibri" w:cs="Calibri"/>
                <w:b/>
                <w:bCs/>
                <w:color w:val="000000"/>
              </w:rPr>
              <w:t>24/T3/07</w:t>
            </w:r>
          </w:p>
        </w:tc>
        <w:tc>
          <w:tcPr>
            <w:tcW w:w="5845" w:type="dxa"/>
          </w:tcPr>
          <w:p w14:paraId="35C8F011" w14:textId="7FB2FDC1" w:rsidR="0039258C" w:rsidRPr="00F174DD" w:rsidRDefault="00F174DD" w:rsidP="00F174DD">
            <w:pPr>
              <w:spacing w:after="0" w:line="240" w:lineRule="auto"/>
              <w:rPr>
                <w:rFonts w:ascii="Calibri" w:hAnsi="Calibri" w:cs="Calibri"/>
                <w:color w:val="000000"/>
              </w:rPr>
            </w:pPr>
            <w:r>
              <w:rPr>
                <w:rFonts w:ascii="Calibri" w:hAnsi="Calibri" w:cs="Calibri"/>
                <w:color w:val="000000"/>
              </w:rPr>
              <w:t>Understanding the genetics, distribution and impact of foulbrood in NI</w:t>
            </w:r>
          </w:p>
        </w:tc>
        <w:tc>
          <w:tcPr>
            <w:tcW w:w="5495" w:type="dxa"/>
          </w:tcPr>
          <w:p w14:paraId="07328B7B" w14:textId="77777777" w:rsidR="003C34E2" w:rsidRDefault="003C34E2" w:rsidP="003C34E2">
            <w:r>
              <w:t xml:space="preserve">This project aims to i) characterise the genetics of the foulbroods circulating within the Northern Ireland honeybee, and ii) investigate the level of viruses in Northern Ireland apiaries, through two separate work packages.  </w:t>
            </w:r>
          </w:p>
          <w:p w14:paraId="391DAF2C" w14:textId="77777777" w:rsidR="003C34E2" w:rsidRDefault="003C34E2" w:rsidP="003C34E2"/>
          <w:p w14:paraId="78AE9ABB" w14:textId="13EF8A13" w:rsidR="0039258C" w:rsidRPr="00DA568F" w:rsidRDefault="003C34E2" w:rsidP="00647F33">
            <w:r>
              <w:t xml:space="preserve">Through this work AFBI will be able to inform DAERA about the risk of the European Foulbrood and the level of virus populations circulating within NI apiaries.  These data will inform future management approaches for important </w:t>
            </w:r>
            <w:r>
              <w:lastRenderedPageBreak/>
              <w:t>pathogens of honeybees by allowing DAERA to examine the efficacy of the current management approach and the value for money it provides.</w:t>
            </w:r>
          </w:p>
        </w:tc>
        <w:tc>
          <w:tcPr>
            <w:tcW w:w="1479" w:type="dxa"/>
          </w:tcPr>
          <w:p w14:paraId="5F624283" w14:textId="77777777" w:rsidR="0039258C" w:rsidRDefault="0039258C" w:rsidP="0039258C"/>
          <w:p w14:paraId="59220CA4" w14:textId="77777777" w:rsidR="00F174DD" w:rsidRDefault="00F174DD" w:rsidP="00F174DD">
            <w:pPr>
              <w:spacing w:after="0" w:line="240" w:lineRule="auto"/>
              <w:rPr>
                <w:rFonts w:ascii="Calibri" w:hAnsi="Calibri" w:cs="Calibri"/>
                <w:color w:val="000000"/>
              </w:rPr>
            </w:pPr>
            <w:r>
              <w:rPr>
                <w:rFonts w:ascii="Calibri" w:hAnsi="Calibri" w:cs="Calibri"/>
                <w:color w:val="000000"/>
              </w:rPr>
              <w:t>31/03/2028</w:t>
            </w:r>
          </w:p>
          <w:p w14:paraId="5D7300FA" w14:textId="331477B9" w:rsidR="00F174DD" w:rsidRPr="007416C5" w:rsidRDefault="00F174DD" w:rsidP="0039258C"/>
        </w:tc>
      </w:tr>
      <w:tr w:rsidR="0039258C" w14:paraId="41F8503F" w14:textId="77777777" w:rsidTr="004B0607">
        <w:trPr>
          <w:tblCellSpacing w:w="11" w:type="dxa"/>
        </w:trPr>
        <w:tc>
          <w:tcPr>
            <w:tcW w:w="1129" w:type="dxa"/>
          </w:tcPr>
          <w:p w14:paraId="4C34429D" w14:textId="3B438B7D" w:rsidR="0039258C" w:rsidRPr="0026588C" w:rsidRDefault="00DD086F" w:rsidP="0039258C">
            <w:pPr>
              <w:rPr>
                <w:b/>
              </w:rPr>
            </w:pPr>
            <w:r>
              <w:rPr>
                <w:rFonts w:ascii="Calibri" w:hAnsi="Calibri" w:cs="Calibri"/>
                <w:b/>
                <w:bCs/>
                <w:color w:val="000000"/>
              </w:rPr>
              <w:t>24/T3/08</w:t>
            </w:r>
          </w:p>
        </w:tc>
        <w:tc>
          <w:tcPr>
            <w:tcW w:w="5845" w:type="dxa"/>
          </w:tcPr>
          <w:p w14:paraId="0BEC53AF" w14:textId="0632D1F9" w:rsidR="0039258C" w:rsidRPr="00F174DD" w:rsidRDefault="00F174DD" w:rsidP="00F174DD">
            <w:pPr>
              <w:spacing w:after="0" w:line="240" w:lineRule="auto"/>
              <w:rPr>
                <w:rFonts w:ascii="Calibri" w:hAnsi="Calibri" w:cs="Calibri"/>
                <w:color w:val="000000"/>
              </w:rPr>
            </w:pPr>
            <w:r>
              <w:rPr>
                <w:rFonts w:ascii="Calibri" w:hAnsi="Calibri" w:cs="Calibri"/>
                <w:color w:val="000000"/>
              </w:rPr>
              <w:t xml:space="preserve">Bovine TB micro modernisation: alternative tests and method improvements </w:t>
            </w:r>
          </w:p>
        </w:tc>
        <w:tc>
          <w:tcPr>
            <w:tcW w:w="5495" w:type="dxa"/>
          </w:tcPr>
          <w:p w14:paraId="2CD6CA7D" w14:textId="77777777" w:rsidR="003C34E2" w:rsidRDefault="003C34E2" w:rsidP="003C34E2">
            <w:r>
              <w:t xml:space="preserve">The overall objective of this project is to seek to improve detection (and consequently control) of this complex, costly, and controversial endemic animal disease. While maintaining the capacity to derive important epidemiological data, supported by increased genomics output, improvements in postmortem laboratory confirmation of suspect cases, detected in the NI BTB Programme by field-based immunological tests, of M. bovis infection may include. </w:t>
            </w:r>
          </w:p>
          <w:p w14:paraId="4722E830" w14:textId="77777777" w:rsidR="003C34E2" w:rsidRDefault="003C34E2" w:rsidP="003C34E2">
            <w:r>
              <w:t>•</w:t>
            </w:r>
            <w:r>
              <w:tab/>
              <w:t>Improved sensitivity</w:t>
            </w:r>
          </w:p>
          <w:p w14:paraId="21325DEB" w14:textId="77777777" w:rsidR="003C34E2" w:rsidRDefault="003C34E2" w:rsidP="003C34E2">
            <w:r>
              <w:t>•</w:t>
            </w:r>
            <w:r>
              <w:tab/>
              <w:t>Reduced unit cost</w:t>
            </w:r>
          </w:p>
          <w:p w14:paraId="2449CA1A" w14:textId="77777777" w:rsidR="003C34E2" w:rsidRDefault="003C34E2" w:rsidP="003C34E2">
            <w:r>
              <w:t>•</w:t>
            </w:r>
            <w:r>
              <w:tab/>
              <w:t xml:space="preserve">Increased speed to data output (and subsequent field decisions, and policy action) </w:t>
            </w:r>
          </w:p>
          <w:p w14:paraId="3DDB1718" w14:textId="77777777" w:rsidR="003C34E2" w:rsidRDefault="003C34E2" w:rsidP="003C34E2">
            <w:r>
              <w:t>•</w:t>
            </w:r>
            <w:r>
              <w:tab/>
              <w:t>Improved laboratory efficiency</w:t>
            </w:r>
          </w:p>
          <w:p w14:paraId="5B83530F" w14:textId="13A33EB8" w:rsidR="003C34E2" w:rsidRDefault="003C34E2" w:rsidP="003C34E2">
            <w:r>
              <w:t>•</w:t>
            </w:r>
            <w:r>
              <w:tab/>
              <w:t>Increased throughput capacity</w:t>
            </w:r>
          </w:p>
          <w:p w14:paraId="3ECEC618" w14:textId="77777777" w:rsidR="003C34E2" w:rsidRDefault="003C34E2" w:rsidP="003C34E2"/>
          <w:p w14:paraId="6E7DE93C" w14:textId="0AF0E7C1" w:rsidR="0039258C" w:rsidRPr="00F360BE" w:rsidRDefault="0039258C" w:rsidP="007C6EC2"/>
        </w:tc>
        <w:tc>
          <w:tcPr>
            <w:tcW w:w="1479" w:type="dxa"/>
          </w:tcPr>
          <w:p w14:paraId="3859B31C" w14:textId="77777777" w:rsidR="00F174DD" w:rsidRDefault="00F174DD" w:rsidP="00F174DD">
            <w:pPr>
              <w:spacing w:after="0" w:line="240" w:lineRule="auto"/>
              <w:rPr>
                <w:rFonts w:ascii="Calibri" w:hAnsi="Calibri" w:cs="Calibri"/>
                <w:color w:val="000000"/>
              </w:rPr>
            </w:pPr>
            <w:r>
              <w:rPr>
                <w:rFonts w:ascii="Calibri" w:hAnsi="Calibri" w:cs="Calibri"/>
                <w:color w:val="000000"/>
              </w:rPr>
              <w:t>31/03/2028</w:t>
            </w:r>
          </w:p>
          <w:p w14:paraId="6F699EA7" w14:textId="79AAC1AE" w:rsidR="0039258C" w:rsidRPr="00BA5C8E" w:rsidRDefault="0039258C" w:rsidP="0039258C"/>
        </w:tc>
      </w:tr>
      <w:tr w:rsidR="00DD086F" w14:paraId="1272B855" w14:textId="77777777" w:rsidTr="004B0607">
        <w:trPr>
          <w:tblCellSpacing w:w="11" w:type="dxa"/>
        </w:trPr>
        <w:tc>
          <w:tcPr>
            <w:tcW w:w="1129" w:type="dxa"/>
          </w:tcPr>
          <w:p w14:paraId="15E3A5B6" w14:textId="3C46BEE2" w:rsidR="00DD086F" w:rsidRPr="00382180" w:rsidRDefault="00F174DD" w:rsidP="0039258C">
            <w:pPr>
              <w:rPr>
                <w:b/>
              </w:rPr>
            </w:pPr>
            <w:r>
              <w:rPr>
                <w:b/>
              </w:rPr>
              <w:t>24/T3/10</w:t>
            </w:r>
          </w:p>
        </w:tc>
        <w:tc>
          <w:tcPr>
            <w:tcW w:w="5845" w:type="dxa"/>
          </w:tcPr>
          <w:p w14:paraId="5958FF32" w14:textId="1E4E19CE" w:rsidR="00DD086F" w:rsidRPr="00F174DD" w:rsidRDefault="00F174DD" w:rsidP="00F174DD">
            <w:pPr>
              <w:spacing w:after="0" w:line="240" w:lineRule="auto"/>
              <w:rPr>
                <w:rFonts w:ascii="Calibri" w:hAnsi="Calibri" w:cs="Calibri"/>
                <w:color w:val="000000"/>
              </w:rPr>
            </w:pPr>
            <w:r w:rsidRPr="00F174DD">
              <w:rPr>
                <w:rFonts w:ascii="Calibri" w:hAnsi="Calibri" w:cs="Calibri"/>
                <w:color w:val="000000"/>
              </w:rPr>
              <w:t>The Economics of Controlling Tree Diseases (Cost PHM)</w:t>
            </w:r>
          </w:p>
        </w:tc>
        <w:tc>
          <w:tcPr>
            <w:tcW w:w="5495" w:type="dxa"/>
          </w:tcPr>
          <w:p w14:paraId="2520ADD1" w14:textId="77777777" w:rsidR="00F230A7" w:rsidRDefault="00F230A7" w:rsidP="00F230A7">
            <w:r>
              <w:t>The objectives of this project are:</w:t>
            </w:r>
          </w:p>
          <w:p w14:paraId="71B90270" w14:textId="77777777" w:rsidR="00F230A7" w:rsidRDefault="00F230A7" w:rsidP="00F230A7">
            <w:r>
              <w:lastRenderedPageBreak/>
              <w:t>1)</w:t>
            </w:r>
            <w:r>
              <w:tab/>
              <w:t>Explore the economic impacts of ash die back in Northern Ireland on:</w:t>
            </w:r>
          </w:p>
          <w:p w14:paraId="619F88E2" w14:textId="49175443" w:rsidR="00F230A7" w:rsidRDefault="00F230A7" w:rsidP="00F230A7">
            <w:r>
              <w:t>a.</w:t>
            </w:r>
            <w:r>
              <w:tab/>
              <w:t xml:space="preserve"> </w:t>
            </w:r>
            <w:r w:rsidR="00647F33">
              <w:t>public</w:t>
            </w:r>
            <w:r>
              <w:t xml:space="preserve"> bodies.</w:t>
            </w:r>
          </w:p>
          <w:p w14:paraId="40532C3B" w14:textId="03D72C07" w:rsidR="00F230A7" w:rsidRDefault="00F230A7" w:rsidP="00F230A7">
            <w:r>
              <w:t>b.</w:t>
            </w:r>
            <w:r>
              <w:tab/>
              <w:t xml:space="preserve">The </w:t>
            </w:r>
            <w:r w:rsidR="00647F33">
              <w:t>public</w:t>
            </w:r>
            <w:r w:rsidR="00B314F4">
              <w:t xml:space="preserve"> in general</w:t>
            </w:r>
            <w:r>
              <w:t>.</w:t>
            </w:r>
          </w:p>
          <w:p w14:paraId="51D49D03" w14:textId="77777777" w:rsidR="00F230A7" w:rsidRDefault="00F230A7" w:rsidP="00F230A7">
            <w:r>
              <w:t>2)</w:t>
            </w:r>
            <w:r>
              <w:tab/>
              <w:t>Deliver an enhanced map risk for use in Spatial Economic Plant Health model (SEPH-Model).</w:t>
            </w:r>
          </w:p>
          <w:p w14:paraId="6498642A" w14:textId="77777777" w:rsidR="00F230A7" w:rsidRDefault="00F230A7" w:rsidP="00F230A7">
            <w:r>
              <w:t>3)</w:t>
            </w:r>
            <w:r>
              <w:tab/>
              <w:t>Determine the potential impact of an outbreak of the Great European spruce bark beetle (Dendroctonus micans).</w:t>
            </w:r>
          </w:p>
          <w:p w14:paraId="46431753" w14:textId="45478490" w:rsidR="00DD086F" w:rsidRPr="00F360BE" w:rsidRDefault="00F230A7" w:rsidP="00F230A7">
            <w:r>
              <w:t>4)</w:t>
            </w:r>
            <w:r>
              <w:tab/>
              <w:t>Explore the value for money for alternative policy interventions for a potential outbreak of Dendroctonus micans.</w:t>
            </w:r>
          </w:p>
        </w:tc>
        <w:tc>
          <w:tcPr>
            <w:tcW w:w="1479" w:type="dxa"/>
          </w:tcPr>
          <w:p w14:paraId="2B4D09B0" w14:textId="77777777" w:rsidR="00F174DD" w:rsidRPr="00F174DD" w:rsidRDefault="00F174DD" w:rsidP="00F174DD">
            <w:pPr>
              <w:spacing w:after="0" w:line="240" w:lineRule="auto"/>
              <w:rPr>
                <w:rFonts w:ascii="Calibri" w:hAnsi="Calibri" w:cs="Calibri"/>
                <w:color w:val="000000"/>
              </w:rPr>
            </w:pPr>
            <w:r w:rsidRPr="00F174DD">
              <w:rPr>
                <w:rFonts w:ascii="Calibri" w:hAnsi="Calibri" w:cs="Calibri"/>
                <w:color w:val="000000"/>
              </w:rPr>
              <w:lastRenderedPageBreak/>
              <w:t>31/03/2028</w:t>
            </w:r>
          </w:p>
          <w:p w14:paraId="16E2B627" w14:textId="77777777" w:rsidR="00DD086F" w:rsidRPr="00382180" w:rsidRDefault="00DD086F" w:rsidP="0039258C"/>
        </w:tc>
      </w:tr>
      <w:tr w:rsidR="00F174DD" w14:paraId="072B4801" w14:textId="77777777" w:rsidTr="004B0607">
        <w:trPr>
          <w:tblCellSpacing w:w="11" w:type="dxa"/>
        </w:trPr>
        <w:tc>
          <w:tcPr>
            <w:tcW w:w="1129" w:type="dxa"/>
          </w:tcPr>
          <w:p w14:paraId="6E1A419C" w14:textId="77777777" w:rsidR="00F174DD" w:rsidRPr="00382180" w:rsidRDefault="00F174DD" w:rsidP="0039258C">
            <w:pPr>
              <w:rPr>
                <w:b/>
              </w:rPr>
            </w:pPr>
          </w:p>
        </w:tc>
        <w:tc>
          <w:tcPr>
            <w:tcW w:w="5845" w:type="dxa"/>
          </w:tcPr>
          <w:p w14:paraId="0053F197" w14:textId="77777777" w:rsidR="00F174DD" w:rsidRPr="00833C32" w:rsidRDefault="00F174DD" w:rsidP="0039258C"/>
        </w:tc>
        <w:tc>
          <w:tcPr>
            <w:tcW w:w="5495" w:type="dxa"/>
          </w:tcPr>
          <w:p w14:paraId="2F67E155" w14:textId="77777777" w:rsidR="00F174DD" w:rsidRPr="00F360BE" w:rsidRDefault="00F174DD" w:rsidP="00F360BE">
            <w:pPr>
              <w:rPr>
                <w:bCs/>
              </w:rPr>
            </w:pPr>
          </w:p>
        </w:tc>
        <w:tc>
          <w:tcPr>
            <w:tcW w:w="1479" w:type="dxa"/>
          </w:tcPr>
          <w:p w14:paraId="3F3C4B8D" w14:textId="77777777" w:rsidR="00F174DD" w:rsidRPr="003308DB" w:rsidRDefault="00F174DD" w:rsidP="0039258C"/>
        </w:tc>
      </w:tr>
      <w:tr w:rsidR="00B8280E" w14:paraId="10E29AEB" w14:textId="77777777" w:rsidTr="004B0607">
        <w:trPr>
          <w:tblCellSpacing w:w="11" w:type="dxa"/>
        </w:trPr>
        <w:tc>
          <w:tcPr>
            <w:tcW w:w="1129" w:type="dxa"/>
          </w:tcPr>
          <w:p w14:paraId="1EDACD5A" w14:textId="2A9A2C43" w:rsidR="00B8280E" w:rsidRPr="00382180" w:rsidRDefault="00B8280E" w:rsidP="0039258C">
            <w:pPr>
              <w:rPr>
                <w:b/>
              </w:rPr>
            </w:pPr>
            <w:r w:rsidRPr="00382180">
              <w:rPr>
                <w:b/>
              </w:rPr>
              <w:t>2</w:t>
            </w:r>
            <w:r>
              <w:rPr>
                <w:b/>
              </w:rPr>
              <w:t>4</w:t>
            </w:r>
            <w:r w:rsidRPr="00382180">
              <w:rPr>
                <w:b/>
              </w:rPr>
              <w:t>/</w:t>
            </w:r>
            <w:r>
              <w:rPr>
                <w:b/>
              </w:rPr>
              <w:t>T4</w:t>
            </w:r>
            <w:r w:rsidRPr="00382180">
              <w:rPr>
                <w:b/>
              </w:rPr>
              <w:t>/0</w:t>
            </w:r>
            <w:r>
              <w:rPr>
                <w:b/>
              </w:rPr>
              <w:t>2</w:t>
            </w:r>
          </w:p>
        </w:tc>
        <w:tc>
          <w:tcPr>
            <w:tcW w:w="5845" w:type="dxa"/>
          </w:tcPr>
          <w:p w14:paraId="4B04B589" w14:textId="5027FB94" w:rsidR="00B8280E" w:rsidRPr="00382180" w:rsidRDefault="00FA6DEE" w:rsidP="0039258C">
            <w:r w:rsidRPr="00FA6DEE">
              <w:t>Neagh WATER (Watershed Analysis of Transport and Eutrophication Risks) NOW - SHIELD - MODELLING</w:t>
            </w:r>
          </w:p>
        </w:tc>
        <w:tc>
          <w:tcPr>
            <w:tcW w:w="5495" w:type="dxa"/>
          </w:tcPr>
          <w:p w14:paraId="6D186BCF" w14:textId="77777777" w:rsidR="00B8280E" w:rsidRDefault="00B314F4" w:rsidP="00F360BE">
            <w:r w:rsidRPr="00B314F4">
              <w:t>The proposed work aims to develop an integrated catchment model for the Neagh-Bann catchment, building on recent advances in infrastructure modelling and existing knowledge of land-water interactions in the region. The key objectives are outlined below.</w:t>
            </w:r>
          </w:p>
          <w:p w14:paraId="3AD9B6DD" w14:textId="77777777" w:rsidR="00B314F4" w:rsidRDefault="00B314F4" w:rsidP="00B314F4"/>
          <w:p w14:paraId="208BA579" w14:textId="4CDFA56A" w:rsidR="00B314F4" w:rsidRDefault="00B314F4" w:rsidP="00B314F4">
            <w:r>
              <w:t>Work Package 1</w:t>
            </w:r>
          </w:p>
          <w:p w14:paraId="4854C886" w14:textId="77777777" w:rsidR="00B314F4" w:rsidRDefault="00B314F4" w:rsidP="00B314F4">
            <w:r>
              <w:lastRenderedPageBreak/>
              <w:t>Objective 1.1: Identify, review and collate available data for modelling</w:t>
            </w:r>
          </w:p>
          <w:p w14:paraId="587522DC" w14:textId="54E09F86" w:rsidR="00B314F4" w:rsidRDefault="00B314F4" w:rsidP="00B314F4">
            <w:r w:rsidRPr="00B314F4">
              <w:t>Objective 1.2: Catchment model build, calibration and validation</w:t>
            </w:r>
          </w:p>
          <w:p w14:paraId="710F1BBB" w14:textId="77777777" w:rsidR="00B314F4" w:rsidRDefault="00B314F4" w:rsidP="00B314F4">
            <w:r w:rsidRPr="00B314F4">
              <w:t>Objective 1.3: Seasonal source apportionment</w:t>
            </w:r>
          </w:p>
          <w:p w14:paraId="68F7B23D" w14:textId="77777777" w:rsidR="00B314F4" w:rsidRDefault="00B314F4" w:rsidP="00B314F4">
            <w:r w:rsidRPr="00B314F4">
              <w:t>Objective 1.4: Couple catchment model outputs to lake ecosystem models</w:t>
            </w:r>
          </w:p>
          <w:p w14:paraId="1524FAA5" w14:textId="77777777" w:rsidR="00B314F4" w:rsidRDefault="00B314F4" w:rsidP="00B314F4">
            <w:r w:rsidRPr="00B314F4">
              <w:t>Objective 1.5: Source apportionment and responses to loadings</w:t>
            </w:r>
          </w:p>
          <w:p w14:paraId="7875597D" w14:textId="77777777" w:rsidR="00B314F4" w:rsidRDefault="00B314F4" w:rsidP="00B314F4">
            <w:r w:rsidRPr="00B314F4">
              <w:t>Objective 2.1: Apply SLAM to further refine the current source apportionment</w:t>
            </w:r>
          </w:p>
          <w:p w14:paraId="47DF0438" w14:textId="77777777" w:rsidR="00B314F4" w:rsidRDefault="00B314F4" w:rsidP="00B314F4">
            <w:r w:rsidRPr="00B314F4">
              <w:t>Objective 2.2: Catchment manager user tools</w:t>
            </w:r>
          </w:p>
          <w:p w14:paraId="0B8D0601" w14:textId="77777777" w:rsidR="00B314F4" w:rsidRDefault="00B314F4" w:rsidP="00B314F4">
            <w:r w:rsidRPr="00B314F4">
              <w:t>Objective 2.3: Co-development of scenario solutions with stakeholders</w:t>
            </w:r>
          </w:p>
          <w:p w14:paraId="09FA41AC" w14:textId="77777777" w:rsidR="00B314F4" w:rsidRDefault="00B314F4" w:rsidP="00B314F4">
            <w:r w:rsidRPr="00B314F4">
              <w:t>Objective 3.1: Baseline comparison of models</w:t>
            </w:r>
          </w:p>
          <w:p w14:paraId="0EB51952" w14:textId="5C04A1A4" w:rsidR="00B314F4" w:rsidRPr="00F360BE" w:rsidRDefault="00B314F4" w:rsidP="00B314F4">
            <w:r w:rsidRPr="00B314F4">
              <w:t>Objective 3.2: External validation of models and approach</w:t>
            </w:r>
          </w:p>
        </w:tc>
        <w:tc>
          <w:tcPr>
            <w:tcW w:w="1479" w:type="dxa"/>
          </w:tcPr>
          <w:p w14:paraId="54991C61" w14:textId="77777777" w:rsidR="00B8280E" w:rsidRPr="00382180" w:rsidRDefault="00B8280E" w:rsidP="0039258C"/>
        </w:tc>
      </w:tr>
      <w:tr w:rsidR="00B8280E" w14:paraId="7C36448E" w14:textId="77777777" w:rsidTr="004B0607">
        <w:trPr>
          <w:tblCellSpacing w:w="11" w:type="dxa"/>
        </w:trPr>
        <w:tc>
          <w:tcPr>
            <w:tcW w:w="1129" w:type="dxa"/>
          </w:tcPr>
          <w:p w14:paraId="62E265BC" w14:textId="5E3FF707" w:rsidR="00B8280E" w:rsidRPr="00382180" w:rsidRDefault="00B8280E" w:rsidP="0039258C">
            <w:pPr>
              <w:rPr>
                <w:b/>
              </w:rPr>
            </w:pPr>
            <w:r w:rsidRPr="00382180">
              <w:rPr>
                <w:b/>
              </w:rPr>
              <w:t>2</w:t>
            </w:r>
            <w:r>
              <w:rPr>
                <w:b/>
              </w:rPr>
              <w:t>4</w:t>
            </w:r>
            <w:r w:rsidRPr="00382180">
              <w:rPr>
                <w:b/>
              </w:rPr>
              <w:t>/</w:t>
            </w:r>
            <w:r>
              <w:rPr>
                <w:b/>
              </w:rPr>
              <w:t>T4</w:t>
            </w:r>
            <w:r w:rsidRPr="00382180">
              <w:rPr>
                <w:b/>
              </w:rPr>
              <w:t>/0</w:t>
            </w:r>
            <w:r>
              <w:rPr>
                <w:b/>
              </w:rPr>
              <w:t>3</w:t>
            </w:r>
          </w:p>
        </w:tc>
        <w:tc>
          <w:tcPr>
            <w:tcW w:w="5845" w:type="dxa"/>
          </w:tcPr>
          <w:p w14:paraId="2265D99B" w14:textId="5B9C04B2" w:rsidR="00B8280E" w:rsidRPr="00382180" w:rsidRDefault="00FA6DEE" w:rsidP="0039258C">
            <w:r w:rsidRPr="00FA6DEE">
              <w:t>Lough Neagh SHIELD (Study of Harmful Impacts affecting Ecosystems &amp; Lough Dynamics) – Catchment and Lake Science</w:t>
            </w:r>
          </w:p>
        </w:tc>
        <w:tc>
          <w:tcPr>
            <w:tcW w:w="5495" w:type="dxa"/>
          </w:tcPr>
          <w:p w14:paraId="3B1F45EC" w14:textId="77777777" w:rsidR="00B8280E" w:rsidRDefault="00B314F4" w:rsidP="00F360BE">
            <w:r w:rsidRPr="00B314F4">
              <w:t xml:space="preserve">The Lough Neagh SHIELD (Study of Harmful Impacts affecting Ecosystems &amp; Lough Dynamics) Programme will specifically address the goal of research Theme 4 and target knowledge gaps in how land use and other anthropogenic pressures such as wastewater and </w:t>
            </w:r>
            <w:r w:rsidRPr="00B314F4">
              <w:lastRenderedPageBreak/>
              <w:t>industrial inputs affect water and ecological quality in Lough Neagh and the broader Neagh-Bann catchment</w:t>
            </w:r>
            <w:r>
              <w:t>.</w:t>
            </w:r>
          </w:p>
          <w:p w14:paraId="56691E90" w14:textId="77777777" w:rsidR="00B314F4" w:rsidRDefault="00B314F4" w:rsidP="00F360BE">
            <w:r w:rsidRPr="00B314F4">
              <w:t>Although Lough Neagh is one of the most studied lakes in the United Kingdom and Ireland, knowledge gaps remain concerning how the lake-system functions, which aligns with the challenge of scale. Despite the wealth of knowledge and scientific literature, the recent rate of change in some lough ecological indicators makes it imperative to improve our understanding and communication to inform the mitigation and adaptation strategies that will be fundamentally important to both human and ecological health:</w:t>
            </w:r>
          </w:p>
          <w:p w14:paraId="62B3F165" w14:textId="431CCCC1" w:rsidR="00B314F4" w:rsidRDefault="00B314F4" w:rsidP="00B314F4">
            <w:r w:rsidRPr="00B314F4">
              <w:t>1)</w:t>
            </w:r>
            <w:r w:rsidRPr="00B314F4">
              <w:tab/>
              <w:t>An enhanced catchment science programme</w:t>
            </w:r>
          </w:p>
          <w:p w14:paraId="4DB38F93" w14:textId="2C408AE2" w:rsidR="00B314F4" w:rsidRDefault="00B314F4" w:rsidP="00B314F4">
            <w:r>
              <w:t>2)</w:t>
            </w:r>
            <w:r>
              <w:tab/>
              <w:t>Expanded capacity for the ecological and water-quality science programmes</w:t>
            </w:r>
          </w:p>
          <w:p w14:paraId="53C8CB57" w14:textId="3268B3BC" w:rsidR="00B314F4" w:rsidRDefault="00B314F4" w:rsidP="00B314F4">
            <w:r w:rsidRPr="00B314F4">
              <w:t>3)</w:t>
            </w:r>
            <w:r w:rsidRPr="00B314F4">
              <w:tab/>
              <w:t>Mapping of the lough bed</w:t>
            </w:r>
          </w:p>
          <w:p w14:paraId="3859CFE6" w14:textId="60D562BC" w:rsidR="00B314F4" w:rsidRPr="00F360BE" w:rsidRDefault="00B314F4" w:rsidP="00F360BE"/>
        </w:tc>
        <w:tc>
          <w:tcPr>
            <w:tcW w:w="1479" w:type="dxa"/>
          </w:tcPr>
          <w:p w14:paraId="6889740F" w14:textId="2F9D4604" w:rsidR="00B8280E" w:rsidRPr="00382180" w:rsidRDefault="00FA6DEE" w:rsidP="0039258C">
            <w:r w:rsidRPr="00FA6DEE">
              <w:lastRenderedPageBreak/>
              <w:t>30/06/2028</w:t>
            </w:r>
          </w:p>
        </w:tc>
      </w:tr>
      <w:tr w:rsidR="00F174DD" w14:paraId="7E0458EB" w14:textId="77777777" w:rsidTr="004B0607">
        <w:trPr>
          <w:tblCellSpacing w:w="11" w:type="dxa"/>
        </w:trPr>
        <w:tc>
          <w:tcPr>
            <w:tcW w:w="1129" w:type="dxa"/>
          </w:tcPr>
          <w:p w14:paraId="14ECB4A5" w14:textId="3AC937CD" w:rsidR="00F174DD" w:rsidRPr="00382180" w:rsidRDefault="00F174DD" w:rsidP="00F174DD">
            <w:pPr>
              <w:rPr>
                <w:b/>
              </w:rPr>
            </w:pPr>
            <w:r w:rsidRPr="00653D18">
              <w:rPr>
                <w:b/>
              </w:rPr>
              <w:t>24/T4/0</w:t>
            </w:r>
            <w:r>
              <w:rPr>
                <w:b/>
              </w:rPr>
              <w:t>5</w:t>
            </w:r>
          </w:p>
        </w:tc>
        <w:tc>
          <w:tcPr>
            <w:tcW w:w="5845" w:type="dxa"/>
          </w:tcPr>
          <w:p w14:paraId="57DACAD3" w14:textId="0A4921E0" w:rsidR="00F174DD" w:rsidRPr="00382180" w:rsidRDefault="00FA6DEE" w:rsidP="00F174DD">
            <w:r w:rsidRPr="00FA6DEE">
              <w:t>Monitoring and modelling of nutrient losses to water in agricultural catchments to evaluate the effectiveness of the Nutrients Action Programme (NAP) and evaluate Agri-Environment Scheme measures. (NAP-BMP)</w:t>
            </w:r>
          </w:p>
        </w:tc>
        <w:tc>
          <w:tcPr>
            <w:tcW w:w="5495" w:type="dxa"/>
          </w:tcPr>
          <w:p w14:paraId="058F7820" w14:textId="515E2007" w:rsidR="00361C78" w:rsidRDefault="00361C78" w:rsidP="00361C78">
            <w:r>
              <w:t xml:space="preserve">The Overall Objectives of the proposed research are to: </w:t>
            </w:r>
          </w:p>
          <w:p w14:paraId="58CE25C6" w14:textId="22FF94C5" w:rsidR="00361C78" w:rsidRDefault="00361C78" w:rsidP="00361C78">
            <w:r>
              <w:t>(i)</w:t>
            </w:r>
            <w:r>
              <w:tab/>
              <w:t xml:space="preserve">Extend monitoring and modelling to provide evidence on the impacts of agriculture on water quality that will support decision making for the Nutrient Action Programme in NI and contribute to meeting the amplified </w:t>
            </w:r>
            <w:r>
              <w:lastRenderedPageBreak/>
              <w:t>monitoring and reporting objectives of the Derogation Decision for Northern Ireland.</w:t>
            </w:r>
          </w:p>
          <w:p w14:paraId="7A299271" w14:textId="77777777" w:rsidR="00F174DD" w:rsidRDefault="00361C78" w:rsidP="00361C78">
            <w:r>
              <w:t>(ii)</w:t>
            </w:r>
            <w:r>
              <w:tab/>
              <w:t>Evaluate Best Management Practices (BMP) available through voluntary agri-environmental schemes to reduce agricultural sourced pollutants and improve water quality.</w:t>
            </w:r>
          </w:p>
          <w:p w14:paraId="3EB38FC3" w14:textId="77777777" w:rsidR="00361C78" w:rsidRDefault="00361C78" w:rsidP="00361C78">
            <w:r w:rsidRPr="00361C78">
              <w:t>These will be achieved in two harmonised sub-projects, summarised as: 1) NAP Evidence and 2) BMP evaluation</w:t>
            </w:r>
            <w:r>
              <w:t>.</w:t>
            </w:r>
          </w:p>
          <w:p w14:paraId="65F8CB20" w14:textId="77777777" w:rsidR="00361C78" w:rsidRDefault="00361C78" w:rsidP="00361C78">
            <w:r w:rsidRPr="00361C78">
              <w:t>In combination these elements provide essential evidence to support decision making relating to reducing the impact of agricultural activities on the environment.</w:t>
            </w:r>
          </w:p>
          <w:p w14:paraId="4B0CD67C" w14:textId="77777777" w:rsidR="00361C78" w:rsidRDefault="00361C78" w:rsidP="00361C78">
            <w:r w:rsidRPr="00361C78">
              <w:t>The NAP Evidence component will continue research to provide higher resolution spatial and temporal data sets linking agricultural practices, land use and landscape to water quality.</w:t>
            </w:r>
          </w:p>
          <w:p w14:paraId="7FA3D2EC" w14:textId="259BF104" w:rsidR="00361C78" w:rsidRPr="00F360BE" w:rsidRDefault="00361C78" w:rsidP="00361C78">
            <w:r w:rsidRPr="00361C78">
              <w:t>BMP Evaluation</w:t>
            </w:r>
            <w:r>
              <w:t xml:space="preserve"> - </w:t>
            </w:r>
            <w:r w:rsidRPr="00361C78">
              <w:t>The extent to which BMPs (e.g., nutrient export and processing, farmyard improvements or riparian buffers) mitigate diffuse or point source pollutants in catchments lead to water quality improvements is uncertain, and dependent on the correct measure being selected and optimised to suit the source pressures, the hydrological dynamics of the upslope contributing area and the likely variation in climatic drivers (rainfall amount and intensity).</w:t>
            </w:r>
          </w:p>
        </w:tc>
        <w:tc>
          <w:tcPr>
            <w:tcW w:w="1479" w:type="dxa"/>
          </w:tcPr>
          <w:p w14:paraId="0B154044" w14:textId="77777777" w:rsidR="00F174DD" w:rsidRDefault="00F174DD" w:rsidP="00F174DD"/>
          <w:p w14:paraId="7A8DDD01" w14:textId="4E5B7975" w:rsidR="00FA6DEE" w:rsidRDefault="00FA6DEE" w:rsidP="00F174DD">
            <w:r w:rsidRPr="00FA6DEE">
              <w:t>31/05/2027</w:t>
            </w:r>
          </w:p>
          <w:p w14:paraId="4ADF9282" w14:textId="77777777" w:rsidR="00FA6DEE" w:rsidRPr="00382180" w:rsidRDefault="00FA6DEE" w:rsidP="00F174DD"/>
        </w:tc>
      </w:tr>
      <w:tr w:rsidR="00F174DD" w14:paraId="2B516448" w14:textId="77777777" w:rsidTr="004B0607">
        <w:trPr>
          <w:tblCellSpacing w:w="11" w:type="dxa"/>
        </w:trPr>
        <w:tc>
          <w:tcPr>
            <w:tcW w:w="1129" w:type="dxa"/>
          </w:tcPr>
          <w:p w14:paraId="7DBEFC05" w14:textId="30F65ED0" w:rsidR="00F174DD" w:rsidRDefault="00F174DD" w:rsidP="00F174DD">
            <w:pPr>
              <w:rPr>
                <w:b/>
              </w:rPr>
            </w:pPr>
            <w:r w:rsidRPr="00653D18">
              <w:rPr>
                <w:b/>
              </w:rPr>
              <w:lastRenderedPageBreak/>
              <w:t>24/T4/0</w:t>
            </w:r>
            <w:r>
              <w:rPr>
                <w:b/>
              </w:rPr>
              <w:t>6</w:t>
            </w:r>
          </w:p>
        </w:tc>
        <w:tc>
          <w:tcPr>
            <w:tcW w:w="5845" w:type="dxa"/>
          </w:tcPr>
          <w:p w14:paraId="22D73E3C" w14:textId="74FD171A" w:rsidR="00F174DD" w:rsidRPr="00382180" w:rsidRDefault="00FA6DEE" w:rsidP="00F174DD">
            <w:r w:rsidRPr="00FA6DEE">
              <w:t>Lough Neagh - In-Lake Remediation Actions – Specifically focused on removal of vegetation &amp; its management &amp; reuse (mass, energy, nutrient)</w:t>
            </w:r>
          </w:p>
        </w:tc>
        <w:tc>
          <w:tcPr>
            <w:tcW w:w="5495" w:type="dxa"/>
          </w:tcPr>
          <w:p w14:paraId="0E0026C0" w14:textId="77777777" w:rsidR="00361C78" w:rsidRDefault="00361C78" w:rsidP="00361C78">
            <w:r>
              <w:t>Lough Neagh has been experiencing significant environmental issues. The primary problem is the severe pollution that has led to the proliferation of toxic algal blooms. These blooms are caused by high levels of nutrients, particularly phosphorus, which enter the lake through agricultural runoff, wastewater and treated wastewater discharges, and industrial pollutants including road runoff. The consequences of these algal blooms include the following …</w:t>
            </w:r>
          </w:p>
          <w:p w14:paraId="154E0D7D" w14:textId="77777777" w:rsidR="00361C78" w:rsidRDefault="00361C78" w:rsidP="00361C78">
            <w:r>
              <w:t>Water Quality: Lough Neagh is a crucial source of drinking water for Northern Ireland. Pollution compromises water quality, necessitating more extensive and expensive treatment processes to ensure it is safe for consumption.</w:t>
            </w:r>
          </w:p>
          <w:p w14:paraId="2B819024" w14:textId="77777777" w:rsidR="00361C78" w:rsidRDefault="00361C78" w:rsidP="00361C78">
            <w:r>
              <w:t xml:space="preserve">Ecological Damage: Algal blooms can cause ecological damage by depleting oxygen in the water, reducing sunlight penetration, producing harmful toxins, disrupting food chains, reducing biodiversity, and making water bodies unattractive and unsafe for recreation. These effects can lead to long-term imbalances in aquatic ecosystems and lead to fish kills however there is no evidence of this in Lough Neagh at present. </w:t>
            </w:r>
          </w:p>
          <w:p w14:paraId="3CF47100" w14:textId="77777777" w:rsidR="00361C78" w:rsidRDefault="00361C78" w:rsidP="00361C78">
            <w:r>
              <w:t xml:space="preserve">Health Risks: The toxins produced by the algae can be harmful to humans and animals, posing risks to people who come into contact with the water, whether through recreation or consumption. </w:t>
            </w:r>
          </w:p>
          <w:p w14:paraId="7930FA3B" w14:textId="77777777" w:rsidR="00361C78" w:rsidRDefault="00361C78" w:rsidP="00361C78">
            <w:r>
              <w:lastRenderedPageBreak/>
              <w:t xml:space="preserve">Economic Impact: The pollution affects local industries such as fishing and tourism. The presence of toxic algae makes the lake less attractive for recreational activities, impacting businesses that depend on tourism. </w:t>
            </w:r>
          </w:p>
          <w:p w14:paraId="45668A92" w14:textId="470E66ED" w:rsidR="00361C78" w:rsidRPr="00361C78" w:rsidRDefault="00361C78" w:rsidP="00361C78">
            <w:pPr>
              <w:rPr>
                <w:b/>
                <w:bCs/>
              </w:rPr>
            </w:pPr>
            <w:r w:rsidRPr="00361C78">
              <w:rPr>
                <w:b/>
                <w:bCs/>
              </w:rPr>
              <w:t>Overall Objective</w:t>
            </w:r>
          </w:p>
          <w:p w14:paraId="3480C714" w14:textId="09DEE546" w:rsidR="00361C78" w:rsidRDefault="00361C78" w:rsidP="00361C78">
            <w:r>
              <w:t>To explore the potential efficacy and impact of removing micro/macro algae and macrophyte biomass from lough Neagh to reduce the risk of future algae blooms and contribute to some scale of nutrient &amp; carbon removal which could potentially form part of an energy and nutrient recovery cycle.</w:t>
            </w:r>
          </w:p>
          <w:p w14:paraId="367B455C" w14:textId="77777777" w:rsidR="00F174DD" w:rsidRPr="00F360BE" w:rsidRDefault="00F174DD" w:rsidP="00F174DD"/>
        </w:tc>
        <w:tc>
          <w:tcPr>
            <w:tcW w:w="1479" w:type="dxa"/>
          </w:tcPr>
          <w:p w14:paraId="5157A246" w14:textId="77777777" w:rsidR="00F174DD" w:rsidRDefault="00F174DD" w:rsidP="00F174DD"/>
          <w:p w14:paraId="3220B1CA" w14:textId="7000588C" w:rsidR="00FA6DEE" w:rsidRPr="00382180" w:rsidRDefault="00FA6DEE" w:rsidP="00F174DD">
            <w:r w:rsidRPr="00FA6DEE">
              <w:t>31/03/2027</w:t>
            </w:r>
          </w:p>
        </w:tc>
      </w:tr>
      <w:tr w:rsidR="00F174DD" w14:paraId="54B36A78" w14:textId="77777777" w:rsidTr="004B0607">
        <w:trPr>
          <w:tblCellSpacing w:w="11" w:type="dxa"/>
        </w:trPr>
        <w:tc>
          <w:tcPr>
            <w:tcW w:w="1129" w:type="dxa"/>
          </w:tcPr>
          <w:p w14:paraId="3EE3B795" w14:textId="773E1C27" w:rsidR="00F174DD" w:rsidRDefault="00F174DD" w:rsidP="00F174DD">
            <w:pPr>
              <w:rPr>
                <w:b/>
              </w:rPr>
            </w:pPr>
            <w:r w:rsidRPr="00653D18">
              <w:rPr>
                <w:b/>
              </w:rPr>
              <w:t>24/T4/0</w:t>
            </w:r>
            <w:r>
              <w:rPr>
                <w:b/>
              </w:rPr>
              <w:t>7</w:t>
            </w:r>
          </w:p>
        </w:tc>
        <w:tc>
          <w:tcPr>
            <w:tcW w:w="5845" w:type="dxa"/>
          </w:tcPr>
          <w:p w14:paraId="4106A9B8" w14:textId="3464B27E" w:rsidR="00F174DD" w:rsidRPr="00382180" w:rsidRDefault="00FA6DEE" w:rsidP="00F174DD">
            <w:r w:rsidRPr="00FA6DEE">
              <w:t>Safeguarding our natural wealth – Soil Health Indicators</w:t>
            </w:r>
          </w:p>
        </w:tc>
        <w:tc>
          <w:tcPr>
            <w:tcW w:w="5495" w:type="dxa"/>
          </w:tcPr>
          <w:p w14:paraId="0EAF5FA1" w14:textId="3D041854" w:rsidR="000421D0" w:rsidRDefault="000421D0" w:rsidP="000421D0">
            <w:r>
              <w:t>The overall aim of the project is to assess existing information on soil health within NI and identify any immediate gaps in research, particularly in terms of biological soil health indicators that can be measured simply and cost effectively. The main objectives are  as follows:</w:t>
            </w:r>
          </w:p>
          <w:p w14:paraId="78F45CF5" w14:textId="77777777" w:rsidR="000421D0" w:rsidRDefault="000421D0" w:rsidP="000421D0">
            <w:r>
              <w:t>1.</w:t>
            </w:r>
            <w:r>
              <w:tab/>
              <w:t>Creation of a database of the main soil chemical, physical and biological soil health indicators that have been collected within recent projects such as E&amp;I 17/1/01 Soil Health in NI; E&amp;I 18/1/21 Manure in Arable; E&amp;I 21/5/02 Effects of long-term slurry applications on grassland, NI SNHS, and NI Countryside Survey; and identify immediate gaps in overall research.</w:t>
            </w:r>
          </w:p>
          <w:p w14:paraId="519F090E" w14:textId="77777777" w:rsidR="000421D0" w:rsidRDefault="000421D0" w:rsidP="000421D0">
            <w:r>
              <w:lastRenderedPageBreak/>
              <w:t>2.</w:t>
            </w:r>
            <w:r>
              <w:tab/>
              <w:t xml:space="preserve">Creation of a NI Soil Health Score Card, in collaboration with the Agricultural and Horticultural Development Board (AHDB) and the National Institute of Agricultural Botany (NIAB). </w:t>
            </w:r>
          </w:p>
          <w:p w14:paraId="5D2B4735" w14:textId="77777777" w:rsidR="000421D0" w:rsidRDefault="000421D0" w:rsidP="000421D0">
            <w:r>
              <w:t>3.</w:t>
            </w:r>
            <w:r>
              <w:tab/>
              <w:t>Assessment of the merits of low cost, simple metrics of soil biology for use by landowners across NI, for example the Solvita CO2 Burst Test to measure soil biological activity and the Solvita Labile Amino-Nitrogen Test to estimate soil nitrogen supply.</w:t>
            </w:r>
          </w:p>
          <w:p w14:paraId="6057B663" w14:textId="77777777" w:rsidR="000421D0" w:rsidRDefault="000421D0" w:rsidP="000421D0">
            <w:r>
              <w:t>4.</w:t>
            </w:r>
            <w:r>
              <w:tab/>
              <w:t>Evaluation of proxies for soil nutrient health, such as soil electrical conductivity, soil redox potential and real-time nitrate sensors.</w:t>
            </w:r>
          </w:p>
          <w:p w14:paraId="1FFCD0A7" w14:textId="77777777" w:rsidR="000421D0" w:rsidRDefault="000421D0" w:rsidP="000421D0">
            <w:r>
              <w:t>5.</w:t>
            </w:r>
            <w:r>
              <w:tab/>
              <w:t>Evaluation of visual soil health indicators, for assessment of soil carbon and organic matter status. For example, hyperspectral imaging and hot and cold water-extractable C.</w:t>
            </w:r>
          </w:p>
          <w:p w14:paraId="40DD6498" w14:textId="77777777" w:rsidR="000421D0" w:rsidRDefault="000421D0" w:rsidP="000421D0">
            <w:r>
              <w:t>6.</w:t>
            </w:r>
            <w:r>
              <w:tab/>
              <w:t>Dissemination of results through a number of locally organised knowledge transfer events, webinars, infographics, reports and press releases.</w:t>
            </w:r>
          </w:p>
          <w:p w14:paraId="37A9C279" w14:textId="77777777" w:rsidR="00F174DD" w:rsidRPr="00F360BE" w:rsidRDefault="00F174DD" w:rsidP="00F174DD"/>
        </w:tc>
        <w:tc>
          <w:tcPr>
            <w:tcW w:w="1479" w:type="dxa"/>
          </w:tcPr>
          <w:p w14:paraId="06967281" w14:textId="709871B6" w:rsidR="00F174DD" w:rsidRPr="00382180" w:rsidRDefault="00FA6DEE" w:rsidP="00F174DD">
            <w:r w:rsidRPr="00FA6DEE">
              <w:lastRenderedPageBreak/>
              <w:t>31/03/2028</w:t>
            </w:r>
          </w:p>
        </w:tc>
      </w:tr>
      <w:tr w:rsidR="00F174DD" w14:paraId="175639FD" w14:textId="77777777" w:rsidTr="004B0607">
        <w:trPr>
          <w:tblCellSpacing w:w="11" w:type="dxa"/>
        </w:trPr>
        <w:tc>
          <w:tcPr>
            <w:tcW w:w="1129" w:type="dxa"/>
          </w:tcPr>
          <w:p w14:paraId="3A943B5D" w14:textId="0B8731B2" w:rsidR="00F174DD" w:rsidRDefault="00F174DD" w:rsidP="0039258C">
            <w:pPr>
              <w:rPr>
                <w:b/>
              </w:rPr>
            </w:pPr>
            <w:r w:rsidRPr="00382180">
              <w:rPr>
                <w:b/>
              </w:rPr>
              <w:t>2</w:t>
            </w:r>
            <w:r>
              <w:rPr>
                <w:b/>
              </w:rPr>
              <w:t>4</w:t>
            </w:r>
            <w:r w:rsidRPr="00382180">
              <w:rPr>
                <w:b/>
              </w:rPr>
              <w:t>/</w:t>
            </w:r>
            <w:r>
              <w:rPr>
                <w:b/>
              </w:rPr>
              <w:t>T4</w:t>
            </w:r>
            <w:r w:rsidRPr="00382180">
              <w:rPr>
                <w:b/>
              </w:rPr>
              <w:t>/0</w:t>
            </w:r>
            <w:r>
              <w:rPr>
                <w:b/>
              </w:rPr>
              <w:t>8</w:t>
            </w:r>
          </w:p>
        </w:tc>
        <w:tc>
          <w:tcPr>
            <w:tcW w:w="5845" w:type="dxa"/>
          </w:tcPr>
          <w:p w14:paraId="63B622CF" w14:textId="5E9F872F" w:rsidR="00F174DD" w:rsidRPr="00382180" w:rsidRDefault="00FA6DEE" w:rsidP="0039258C">
            <w:r w:rsidRPr="00FA6DEE">
              <w:t>Sustainable Utilisation of Livestock Slurry (SULS) Ammonia and Phosphorous Mitigation Modelling</w:t>
            </w:r>
          </w:p>
        </w:tc>
        <w:tc>
          <w:tcPr>
            <w:tcW w:w="5495" w:type="dxa"/>
          </w:tcPr>
          <w:p w14:paraId="6630D40E" w14:textId="7E4A8902" w:rsidR="000421D0" w:rsidRDefault="000421D0" w:rsidP="000421D0">
            <w:r>
              <w:t>The objectives of this project can be summarised as follows:</w:t>
            </w:r>
          </w:p>
          <w:p w14:paraId="1D8426D7" w14:textId="0C76FFF3" w:rsidR="000421D0" w:rsidRDefault="000421D0" w:rsidP="000421D0">
            <w:r>
              <w:t>Objective 1 - Ammonia / Nitrogen (NH3 / N)</w:t>
            </w:r>
          </w:p>
          <w:p w14:paraId="3D964A3F" w14:textId="0ABD7B8D" w:rsidR="000421D0" w:rsidRDefault="000421D0" w:rsidP="000421D0">
            <w:r>
              <w:lastRenderedPageBreak/>
              <w:t>1a – To model the fate of slurry N / TAN (ammoniacal nitrogen) through the combined SULS systems, with a focus on estimating ammonia losses from the system processes and subsequent management of the slurry fractions / concentrate nutrient fractions produced by the systems, if these were to be managed, processed and re-utilised within an agricultural context or exported out of the agricultural system.</w:t>
            </w:r>
          </w:p>
          <w:p w14:paraId="48441D35" w14:textId="2DB88D73" w:rsidR="000421D0" w:rsidRDefault="000421D0" w:rsidP="000421D0">
            <w:r>
              <w:t xml:space="preserve">1b – To model the impact on NH3 emissions on farms on which slurry is processed and solids are exported to a </w:t>
            </w:r>
            <w:r w:rsidR="00361C78">
              <w:t>centralised nutrient management system (i.e. manure exporter farms)</w:t>
            </w:r>
            <w:r>
              <w:t xml:space="preserve"> and on which a changed slurry (liquid portion) remains on storage for subsequent usage. </w:t>
            </w:r>
          </w:p>
          <w:p w14:paraId="2FBB4461" w14:textId="2C1FF0DB" w:rsidR="000421D0" w:rsidRDefault="000421D0" w:rsidP="000421D0">
            <w:r>
              <w:t>1c. To determine the N saving (fertiliser N equivalent) of the NH3 mitigation strategies employed and potential offset in emissions derived from reduced inorganic N importation requirements.</w:t>
            </w:r>
          </w:p>
          <w:p w14:paraId="77A15D98" w14:textId="6067BE79" w:rsidR="000421D0" w:rsidRDefault="000421D0" w:rsidP="000421D0">
            <w:r>
              <w:t>1d. To estimate the impact on NH3 emissions of upscaling the technologies to NI-wide uptake.</w:t>
            </w:r>
          </w:p>
          <w:p w14:paraId="777D1056" w14:textId="1D48742B" w:rsidR="000421D0" w:rsidRDefault="000421D0" w:rsidP="000421D0">
            <w:r>
              <w:t>Objective 2 - Phosphorus (P)</w:t>
            </w:r>
          </w:p>
          <w:p w14:paraId="5E05B318" w14:textId="4474FD7A" w:rsidR="000421D0" w:rsidRDefault="000421D0" w:rsidP="000421D0">
            <w:r>
              <w:t xml:space="preserve">2 – To conduct a mass balance of P, to understand and document the inputs and outputs of P and to provide independent validation of the impact on P and efficacy of P partitioning and removal as experienced by the SULS operation systems &amp; processes. </w:t>
            </w:r>
          </w:p>
          <w:p w14:paraId="5D624D6B" w14:textId="1BB47849" w:rsidR="00F174DD" w:rsidRPr="00F360BE" w:rsidRDefault="000421D0" w:rsidP="000421D0">
            <w:r>
              <w:lastRenderedPageBreak/>
              <w:t>The project will also highlight areas of risk or scientific uncertainty, which may require further research moving forward, such as experimental field trials on recycled products such as organomineral fertilisers &amp; horticultural products and their impact on GHG/NH3 emissions, agronomic trials, or further modelling.</w:t>
            </w:r>
          </w:p>
        </w:tc>
        <w:tc>
          <w:tcPr>
            <w:tcW w:w="1479" w:type="dxa"/>
          </w:tcPr>
          <w:p w14:paraId="1F40E321" w14:textId="1D6388B6" w:rsidR="00F174DD" w:rsidRPr="00382180" w:rsidRDefault="00FA6DEE" w:rsidP="0039258C">
            <w:r w:rsidRPr="00FA6DEE">
              <w:lastRenderedPageBreak/>
              <w:t>31/10/2026</w:t>
            </w:r>
          </w:p>
        </w:tc>
      </w:tr>
      <w:tr w:rsidR="00F174DD" w14:paraId="75BC55D5" w14:textId="77777777" w:rsidTr="004B0607">
        <w:trPr>
          <w:tblCellSpacing w:w="11" w:type="dxa"/>
        </w:trPr>
        <w:tc>
          <w:tcPr>
            <w:tcW w:w="1129" w:type="dxa"/>
          </w:tcPr>
          <w:p w14:paraId="3240AC50" w14:textId="476BBBF6" w:rsidR="00F174DD" w:rsidRDefault="00F174DD" w:rsidP="0039258C">
            <w:pPr>
              <w:rPr>
                <w:b/>
              </w:rPr>
            </w:pPr>
            <w:r w:rsidRPr="00382180">
              <w:rPr>
                <w:b/>
              </w:rPr>
              <w:lastRenderedPageBreak/>
              <w:t>2</w:t>
            </w:r>
            <w:r>
              <w:rPr>
                <w:b/>
              </w:rPr>
              <w:t>4</w:t>
            </w:r>
            <w:r w:rsidRPr="00382180">
              <w:rPr>
                <w:b/>
              </w:rPr>
              <w:t>/</w:t>
            </w:r>
            <w:r>
              <w:rPr>
                <w:b/>
              </w:rPr>
              <w:t>T4</w:t>
            </w:r>
            <w:r w:rsidRPr="00382180">
              <w:rPr>
                <w:b/>
              </w:rPr>
              <w:t>/0</w:t>
            </w:r>
            <w:r>
              <w:rPr>
                <w:b/>
              </w:rPr>
              <w:t>9</w:t>
            </w:r>
          </w:p>
        </w:tc>
        <w:tc>
          <w:tcPr>
            <w:tcW w:w="5845" w:type="dxa"/>
          </w:tcPr>
          <w:p w14:paraId="761F3CB8" w14:textId="25D4F8B7" w:rsidR="00F174DD" w:rsidRPr="00382180" w:rsidRDefault="00FA6DEE" w:rsidP="0039258C">
            <w:r w:rsidRPr="00FA6DEE">
              <w:t>Lough Neagh SHIELD (Study of Harmful Impacts affecting Ecosystems &amp; Lough Dynamics) – ANALYTICAL CHEMISTRY (Toxins, taste and odour)</w:t>
            </w:r>
          </w:p>
        </w:tc>
        <w:tc>
          <w:tcPr>
            <w:tcW w:w="5495" w:type="dxa"/>
          </w:tcPr>
          <w:p w14:paraId="27695FDF" w14:textId="7D5D98D7" w:rsidR="00F174DD" w:rsidRPr="00F360BE" w:rsidRDefault="00361C78" w:rsidP="00F360BE">
            <w:r w:rsidRPr="00361C78">
              <w:t>The Lough Neagh SHIELD – Analytical Chemistry project will deliver an understanding of the environmental sources, fates and consequences of cyanotoxins and taste and odour compounds, as well as developing the capacity within NI to help safeguard human health by establishing accredited methodologies alongside Northern Ireland Water (NIW) and other stakeholders. This project will be conducted under the umbrella of the Lough Neagh SHIELD (Study of Harmful Impacts affecting Ecosystems &amp; Lough Dynamics) Programme which will specifically address the goal of research Theme 4 and target knowledge gaps in how land use and other anthropogenic pressures such as wastewater and industrial inputs affect water and ecological quality in Lough Neagh, the broader Neagh-Bann catchment and coastal areas.</w:t>
            </w:r>
          </w:p>
        </w:tc>
        <w:tc>
          <w:tcPr>
            <w:tcW w:w="1479" w:type="dxa"/>
          </w:tcPr>
          <w:p w14:paraId="108FBFC3" w14:textId="77777777" w:rsidR="00F174DD" w:rsidRPr="00382180" w:rsidRDefault="00F174DD" w:rsidP="0039258C"/>
        </w:tc>
      </w:tr>
      <w:tr w:rsidR="00F174DD" w14:paraId="0B341FFD" w14:textId="77777777" w:rsidTr="004B0607">
        <w:trPr>
          <w:tblCellSpacing w:w="11" w:type="dxa"/>
        </w:trPr>
        <w:tc>
          <w:tcPr>
            <w:tcW w:w="1129" w:type="dxa"/>
          </w:tcPr>
          <w:p w14:paraId="11DE23CA" w14:textId="77777777" w:rsidR="00F174DD" w:rsidRDefault="00F174DD" w:rsidP="0039258C">
            <w:pPr>
              <w:rPr>
                <w:b/>
              </w:rPr>
            </w:pPr>
          </w:p>
        </w:tc>
        <w:tc>
          <w:tcPr>
            <w:tcW w:w="5845" w:type="dxa"/>
          </w:tcPr>
          <w:p w14:paraId="120FB7A7" w14:textId="77777777" w:rsidR="00F174DD" w:rsidRPr="00382180" w:rsidRDefault="00F174DD" w:rsidP="0039258C"/>
        </w:tc>
        <w:tc>
          <w:tcPr>
            <w:tcW w:w="5495" w:type="dxa"/>
          </w:tcPr>
          <w:p w14:paraId="00054F26" w14:textId="77777777" w:rsidR="00F174DD" w:rsidRPr="00F360BE" w:rsidRDefault="00F174DD" w:rsidP="00F360BE"/>
        </w:tc>
        <w:tc>
          <w:tcPr>
            <w:tcW w:w="1479" w:type="dxa"/>
          </w:tcPr>
          <w:p w14:paraId="66BA113C" w14:textId="77777777" w:rsidR="00F174DD" w:rsidRPr="00382180" w:rsidRDefault="00F174DD" w:rsidP="0039258C"/>
        </w:tc>
      </w:tr>
      <w:tr w:rsidR="00B8280E" w14:paraId="16165EF5" w14:textId="77777777" w:rsidTr="004B0607">
        <w:trPr>
          <w:tblCellSpacing w:w="11" w:type="dxa"/>
        </w:trPr>
        <w:tc>
          <w:tcPr>
            <w:tcW w:w="1129" w:type="dxa"/>
          </w:tcPr>
          <w:p w14:paraId="5D987735" w14:textId="4F5D96C5" w:rsidR="00B8280E" w:rsidRPr="00382180" w:rsidRDefault="00B8280E" w:rsidP="0039258C">
            <w:pPr>
              <w:rPr>
                <w:b/>
              </w:rPr>
            </w:pPr>
            <w:r>
              <w:rPr>
                <w:b/>
              </w:rPr>
              <w:t>24/T5/02</w:t>
            </w:r>
          </w:p>
        </w:tc>
        <w:tc>
          <w:tcPr>
            <w:tcW w:w="5845" w:type="dxa"/>
          </w:tcPr>
          <w:p w14:paraId="3D220DD0" w14:textId="1850E70F" w:rsidR="00B8280E" w:rsidRPr="00382180" w:rsidRDefault="00FA6DEE" w:rsidP="0039258C">
            <w:r w:rsidRPr="00FA6DEE">
              <w:t>Audit of Rural Deprivation in Northern Ireland (ARD-NI)</w:t>
            </w:r>
          </w:p>
        </w:tc>
        <w:tc>
          <w:tcPr>
            <w:tcW w:w="5495" w:type="dxa"/>
          </w:tcPr>
          <w:p w14:paraId="5508A719" w14:textId="6EE58544" w:rsidR="000421D0" w:rsidRDefault="000421D0" w:rsidP="000421D0">
            <w:r>
              <w:t xml:space="preserve">The project’s core aim is to contribute directly and constructively to DAERA rural policymaking by collecting and estimating various relevant statistics and metrics to capture aspects of NI rural poverty and isolation. It aims to </w:t>
            </w:r>
            <w:r>
              <w:lastRenderedPageBreak/>
              <w:t>focus on evidence missing from current statistical outputs and qualitative understanding of NI rural poverty.</w:t>
            </w:r>
          </w:p>
          <w:p w14:paraId="47FF3D67" w14:textId="77777777" w:rsidR="000421D0" w:rsidRDefault="000421D0" w:rsidP="000421D0">
            <w:r>
              <w:t xml:space="preserve">The project will employ a mixed-methods approach, gathering both quantitative and qualitative data. The quantitative component will attempt to estimate the quantitative impacts of COVID-19 and the cost-of-living crisis on rural economies using UK administrative data. This will, in the first instance, take the form of an exploratory data analysis to capture any fundamental changes in rural economies (occupations), and particularly welfare labour markets (income, employment), which has traditionally underpinned multiple deprivation indexing methodologies. </w:t>
            </w:r>
          </w:p>
          <w:p w14:paraId="218C20AF" w14:textId="77777777" w:rsidR="000421D0" w:rsidRDefault="000421D0" w:rsidP="000421D0">
            <w:r>
              <w:t>The qualitative component will conduct primary data collections and consultations to provide a picture of the more intangible parts of rural poverty and social isolation in Northern Ireland, with a particular emphasis on the “lived experience” of vulnerable groups such as lone parents, the disabled and the unemployed. This will involve focus groups and in-depth interviews with representative organisations/NGOs of vulnerable groups. The aim of this part can be seen to provide a qualitative picture of change in rural areas on issues that cannot be detected through the data collections in the first part.</w:t>
            </w:r>
          </w:p>
          <w:p w14:paraId="17CEAD92" w14:textId="77777777" w:rsidR="000421D0" w:rsidRDefault="000421D0" w:rsidP="000421D0"/>
          <w:p w14:paraId="5E78AB12" w14:textId="77777777" w:rsidR="00B8280E" w:rsidRPr="00F360BE" w:rsidRDefault="00B8280E" w:rsidP="00F360BE"/>
        </w:tc>
        <w:tc>
          <w:tcPr>
            <w:tcW w:w="1479" w:type="dxa"/>
          </w:tcPr>
          <w:p w14:paraId="5647A874" w14:textId="30BBA37F" w:rsidR="00B8280E" w:rsidRPr="00382180" w:rsidRDefault="00FA6DEE" w:rsidP="00FA6DEE">
            <w:pPr>
              <w:jc w:val="center"/>
            </w:pPr>
            <w:r w:rsidRPr="00FA6DEE">
              <w:lastRenderedPageBreak/>
              <w:t>30/09/2027</w:t>
            </w:r>
          </w:p>
        </w:tc>
      </w:tr>
    </w:tbl>
    <w:p w14:paraId="5FFB812F" w14:textId="77777777" w:rsidR="006E66DF" w:rsidRDefault="006E66DF"/>
    <w:sectPr w:rsidR="006E66DF" w:rsidSect="006E66DF">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19647" w14:textId="77777777" w:rsidR="00511D95" w:rsidRDefault="00511D95" w:rsidP="007E31D8">
      <w:pPr>
        <w:spacing w:after="0" w:line="240" w:lineRule="auto"/>
      </w:pPr>
      <w:r>
        <w:separator/>
      </w:r>
    </w:p>
  </w:endnote>
  <w:endnote w:type="continuationSeparator" w:id="0">
    <w:p w14:paraId="003BEA3E" w14:textId="77777777" w:rsidR="00511D95" w:rsidRDefault="00511D95" w:rsidP="007E3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F9756" w14:textId="77777777" w:rsidR="00511D95" w:rsidRDefault="00511D95" w:rsidP="007E31D8">
      <w:pPr>
        <w:spacing w:after="0" w:line="240" w:lineRule="auto"/>
      </w:pPr>
      <w:r>
        <w:separator/>
      </w:r>
    </w:p>
  </w:footnote>
  <w:footnote w:type="continuationSeparator" w:id="0">
    <w:p w14:paraId="63C67192" w14:textId="77777777" w:rsidR="00511D95" w:rsidRDefault="00511D95" w:rsidP="007E3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22E58" w14:textId="77777777" w:rsidR="007E31D8" w:rsidRDefault="007E31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349A9"/>
    <w:multiLevelType w:val="hybridMultilevel"/>
    <w:tmpl w:val="5FEA0A56"/>
    <w:lvl w:ilvl="0" w:tplc="3D7653E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9877F6"/>
    <w:multiLevelType w:val="hybridMultilevel"/>
    <w:tmpl w:val="9BD84A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07180580">
    <w:abstractNumId w:val="1"/>
  </w:num>
  <w:num w:numId="2" w16cid:durableId="913860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6DF"/>
    <w:rsid w:val="000305FA"/>
    <w:rsid w:val="000421D0"/>
    <w:rsid w:val="00100875"/>
    <w:rsid w:val="0017229F"/>
    <w:rsid w:val="001821E4"/>
    <w:rsid w:val="001830C9"/>
    <w:rsid w:val="001C0EAC"/>
    <w:rsid w:val="001E0BB7"/>
    <w:rsid w:val="002044E4"/>
    <w:rsid w:val="0026588C"/>
    <w:rsid w:val="00361C78"/>
    <w:rsid w:val="00382180"/>
    <w:rsid w:val="0039258C"/>
    <w:rsid w:val="003C34E2"/>
    <w:rsid w:val="004A1719"/>
    <w:rsid w:val="004B0607"/>
    <w:rsid w:val="004B23ED"/>
    <w:rsid w:val="004C17C1"/>
    <w:rsid w:val="004E456F"/>
    <w:rsid w:val="00511D95"/>
    <w:rsid w:val="00646486"/>
    <w:rsid w:val="00647F33"/>
    <w:rsid w:val="006A2034"/>
    <w:rsid w:val="006D0660"/>
    <w:rsid w:val="006E66DF"/>
    <w:rsid w:val="007456B7"/>
    <w:rsid w:val="007C6EC2"/>
    <w:rsid w:val="007C7193"/>
    <w:rsid w:val="007D7FF7"/>
    <w:rsid w:val="007E31D8"/>
    <w:rsid w:val="00803BDF"/>
    <w:rsid w:val="008A4CC4"/>
    <w:rsid w:val="008D0EF1"/>
    <w:rsid w:val="00917810"/>
    <w:rsid w:val="009A477D"/>
    <w:rsid w:val="009A5DC8"/>
    <w:rsid w:val="00A64D5F"/>
    <w:rsid w:val="00A90949"/>
    <w:rsid w:val="00AE380B"/>
    <w:rsid w:val="00AF39EB"/>
    <w:rsid w:val="00B07622"/>
    <w:rsid w:val="00B314F4"/>
    <w:rsid w:val="00B56149"/>
    <w:rsid w:val="00B8280E"/>
    <w:rsid w:val="00B90718"/>
    <w:rsid w:val="00BD39B5"/>
    <w:rsid w:val="00BE43BA"/>
    <w:rsid w:val="00C06DAA"/>
    <w:rsid w:val="00C70D45"/>
    <w:rsid w:val="00CF0349"/>
    <w:rsid w:val="00D0386A"/>
    <w:rsid w:val="00D31764"/>
    <w:rsid w:val="00D93D89"/>
    <w:rsid w:val="00DA568F"/>
    <w:rsid w:val="00DA5EF1"/>
    <w:rsid w:val="00DD086F"/>
    <w:rsid w:val="00EC06FC"/>
    <w:rsid w:val="00F174DD"/>
    <w:rsid w:val="00F230A7"/>
    <w:rsid w:val="00F360BE"/>
    <w:rsid w:val="00F7060F"/>
    <w:rsid w:val="00F71FE6"/>
    <w:rsid w:val="00F96321"/>
    <w:rsid w:val="00FA6DEE"/>
    <w:rsid w:val="00FB3B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AC20A"/>
  <w15:chartTrackingRefBased/>
  <w15:docId w15:val="{8DA54F35-687C-4CE5-8938-95BD00B89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6D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6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3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31D8"/>
  </w:style>
  <w:style w:type="paragraph" w:styleId="Footer">
    <w:name w:val="footer"/>
    <w:basedOn w:val="Normal"/>
    <w:link w:val="FooterChar"/>
    <w:uiPriority w:val="99"/>
    <w:unhideWhenUsed/>
    <w:rsid w:val="007E31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31D8"/>
  </w:style>
  <w:style w:type="paragraph" w:styleId="ListParagraph">
    <w:name w:val="List Paragraph"/>
    <w:basedOn w:val="Normal"/>
    <w:uiPriority w:val="34"/>
    <w:qFormat/>
    <w:rsid w:val="007C6E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403">
      <w:bodyDiv w:val="1"/>
      <w:marLeft w:val="0"/>
      <w:marRight w:val="0"/>
      <w:marTop w:val="0"/>
      <w:marBottom w:val="0"/>
      <w:divBdr>
        <w:top w:val="none" w:sz="0" w:space="0" w:color="auto"/>
        <w:left w:val="none" w:sz="0" w:space="0" w:color="auto"/>
        <w:bottom w:val="none" w:sz="0" w:space="0" w:color="auto"/>
        <w:right w:val="none" w:sz="0" w:space="0" w:color="auto"/>
      </w:divBdr>
    </w:div>
    <w:div w:id="188305002">
      <w:bodyDiv w:val="1"/>
      <w:marLeft w:val="0"/>
      <w:marRight w:val="0"/>
      <w:marTop w:val="0"/>
      <w:marBottom w:val="0"/>
      <w:divBdr>
        <w:top w:val="none" w:sz="0" w:space="0" w:color="auto"/>
        <w:left w:val="none" w:sz="0" w:space="0" w:color="auto"/>
        <w:bottom w:val="none" w:sz="0" w:space="0" w:color="auto"/>
        <w:right w:val="none" w:sz="0" w:space="0" w:color="auto"/>
      </w:divBdr>
    </w:div>
    <w:div w:id="236404641">
      <w:bodyDiv w:val="1"/>
      <w:marLeft w:val="0"/>
      <w:marRight w:val="0"/>
      <w:marTop w:val="0"/>
      <w:marBottom w:val="0"/>
      <w:divBdr>
        <w:top w:val="none" w:sz="0" w:space="0" w:color="auto"/>
        <w:left w:val="none" w:sz="0" w:space="0" w:color="auto"/>
        <w:bottom w:val="none" w:sz="0" w:space="0" w:color="auto"/>
        <w:right w:val="none" w:sz="0" w:space="0" w:color="auto"/>
      </w:divBdr>
    </w:div>
    <w:div w:id="249313820">
      <w:bodyDiv w:val="1"/>
      <w:marLeft w:val="0"/>
      <w:marRight w:val="0"/>
      <w:marTop w:val="0"/>
      <w:marBottom w:val="0"/>
      <w:divBdr>
        <w:top w:val="none" w:sz="0" w:space="0" w:color="auto"/>
        <w:left w:val="none" w:sz="0" w:space="0" w:color="auto"/>
        <w:bottom w:val="none" w:sz="0" w:space="0" w:color="auto"/>
        <w:right w:val="none" w:sz="0" w:space="0" w:color="auto"/>
      </w:divBdr>
    </w:div>
    <w:div w:id="253786062">
      <w:bodyDiv w:val="1"/>
      <w:marLeft w:val="0"/>
      <w:marRight w:val="0"/>
      <w:marTop w:val="0"/>
      <w:marBottom w:val="0"/>
      <w:divBdr>
        <w:top w:val="none" w:sz="0" w:space="0" w:color="auto"/>
        <w:left w:val="none" w:sz="0" w:space="0" w:color="auto"/>
        <w:bottom w:val="none" w:sz="0" w:space="0" w:color="auto"/>
        <w:right w:val="none" w:sz="0" w:space="0" w:color="auto"/>
      </w:divBdr>
    </w:div>
    <w:div w:id="305939328">
      <w:bodyDiv w:val="1"/>
      <w:marLeft w:val="0"/>
      <w:marRight w:val="0"/>
      <w:marTop w:val="0"/>
      <w:marBottom w:val="0"/>
      <w:divBdr>
        <w:top w:val="none" w:sz="0" w:space="0" w:color="auto"/>
        <w:left w:val="none" w:sz="0" w:space="0" w:color="auto"/>
        <w:bottom w:val="none" w:sz="0" w:space="0" w:color="auto"/>
        <w:right w:val="none" w:sz="0" w:space="0" w:color="auto"/>
      </w:divBdr>
    </w:div>
    <w:div w:id="323437781">
      <w:bodyDiv w:val="1"/>
      <w:marLeft w:val="0"/>
      <w:marRight w:val="0"/>
      <w:marTop w:val="0"/>
      <w:marBottom w:val="0"/>
      <w:divBdr>
        <w:top w:val="none" w:sz="0" w:space="0" w:color="auto"/>
        <w:left w:val="none" w:sz="0" w:space="0" w:color="auto"/>
        <w:bottom w:val="none" w:sz="0" w:space="0" w:color="auto"/>
        <w:right w:val="none" w:sz="0" w:space="0" w:color="auto"/>
      </w:divBdr>
    </w:div>
    <w:div w:id="335183720">
      <w:bodyDiv w:val="1"/>
      <w:marLeft w:val="0"/>
      <w:marRight w:val="0"/>
      <w:marTop w:val="0"/>
      <w:marBottom w:val="0"/>
      <w:divBdr>
        <w:top w:val="none" w:sz="0" w:space="0" w:color="auto"/>
        <w:left w:val="none" w:sz="0" w:space="0" w:color="auto"/>
        <w:bottom w:val="none" w:sz="0" w:space="0" w:color="auto"/>
        <w:right w:val="none" w:sz="0" w:space="0" w:color="auto"/>
      </w:divBdr>
    </w:div>
    <w:div w:id="416290530">
      <w:bodyDiv w:val="1"/>
      <w:marLeft w:val="0"/>
      <w:marRight w:val="0"/>
      <w:marTop w:val="0"/>
      <w:marBottom w:val="0"/>
      <w:divBdr>
        <w:top w:val="none" w:sz="0" w:space="0" w:color="auto"/>
        <w:left w:val="none" w:sz="0" w:space="0" w:color="auto"/>
        <w:bottom w:val="none" w:sz="0" w:space="0" w:color="auto"/>
        <w:right w:val="none" w:sz="0" w:space="0" w:color="auto"/>
      </w:divBdr>
    </w:div>
    <w:div w:id="482549443">
      <w:bodyDiv w:val="1"/>
      <w:marLeft w:val="0"/>
      <w:marRight w:val="0"/>
      <w:marTop w:val="0"/>
      <w:marBottom w:val="0"/>
      <w:divBdr>
        <w:top w:val="none" w:sz="0" w:space="0" w:color="auto"/>
        <w:left w:val="none" w:sz="0" w:space="0" w:color="auto"/>
        <w:bottom w:val="none" w:sz="0" w:space="0" w:color="auto"/>
        <w:right w:val="none" w:sz="0" w:space="0" w:color="auto"/>
      </w:divBdr>
    </w:div>
    <w:div w:id="504133522">
      <w:bodyDiv w:val="1"/>
      <w:marLeft w:val="0"/>
      <w:marRight w:val="0"/>
      <w:marTop w:val="0"/>
      <w:marBottom w:val="0"/>
      <w:divBdr>
        <w:top w:val="none" w:sz="0" w:space="0" w:color="auto"/>
        <w:left w:val="none" w:sz="0" w:space="0" w:color="auto"/>
        <w:bottom w:val="none" w:sz="0" w:space="0" w:color="auto"/>
        <w:right w:val="none" w:sz="0" w:space="0" w:color="auto"/>
      </w:divBdr>
    </w:div>
    <w:div w:id="565919238">
      <w:bodyDiv w:val="1"/>
      <w:marLeft w:val="0"/>
      <w:marRight w:val="0"/>
      <w:marTop w:val="0"/>
      <w:marBottom w:val="0"/>
      <w:divBdr>
        <w:top w:val="none" w:sz="0" w:space="0" w:color="auto"/>
        <w:left w:val="none" w:sz="0" w:space="0" w:color="auto"/>
        <w:bottom w:val="none" w:sz="0" w:space="0" w:color="auto"/>
        <w:right w:val="none" w:sz="0" w:space="0" w:color="auto"/>
      </w:divBdr>
    </w:div>
    <w:div w:id="697781917">
      <w:bodyDiv w:val="1"/>
      <w:marLeft w:val="0"/>
      <w:marRight w:val="0"/>
      <w:marTop w:val="0"/>
      <w:marBottom w:val="0"/>
      <w:divBdr>
        <w:top w:val="none" w:sz="0" w:space="0" w:color="auto"/>
        <w:left w:val="none" w:sz="0" w:space="0" w:color="auto"/>
        <w:bottom w:val="none" w:sz="0" w:space="0" w:color="auto"/>
        <w:right w:val="none" w:sz="0" w:space="0" w:color="auto"/>
      </w:divBdr>
    </w:div>
    <w:div w:id="749473340">
      <w:bodyDiv w:val="1"/>
      <w:marLeft w:val="0"/>
      <w:marRight w:val="0"/>
      <w:marTop w:val="0"/>
      <w:marBottom w:val="0"/>
      <w:divBdr>
        <w:top w:val="none" w:sz="0" w:space="0" w:color="auto"/>
        <w:left w:val="none" w:sz="0" w:space="0" w:color="auto"/>
        <w:bottom w:val="none" w:sz="0" w:space="0" w:color="auto"/>
        <w:right w:val="none" w:sz="0" w:space="0" w:color="auto"/>
      </w:divBdr>
    </w:div>
    <w:div w:id="789665244">
      <w:bodyDiv w:val="1"/>
      <w:marLeft w:val="0"/>
      <w:marRight w:val="0"/>
      <w:marTop w:val="0"/>
      <w:marBottom w:val="0"/>
      <w:divBdr>
        <w:top w:val="none" w:sz="0" w:space="0" w:color="auto"/>
        <w:left w:val="none" w:sz="0" w:space="0" w:color="auto"/>
        <w:bottom w:val="none" w:sz="0" w:space="0" w:color="auto"/>
        <w:right w:val="none" w:sz="0" w:space="0" w:color="auto"/>
      </w:divBdr>
    </w:div>
    <w:div w:id="840314840">
      <w:bodyDiv w:val="1"/>
      <w:marLeft w:val="0"/>
      <w:marRight w:val="0"/>
      <w:marTop w:val="0"/>
      <w:marBottom w:val="0"/>
      <w:divBdr>
        <w:top w:val="none" w:sz="0" w:space="0" w:color="auto"/>
        <w:left w:val="none" w:sz="0" w:space="0" w:color="auto"/>
        <w:bottom w:val="none" w:sz="0" w:space="0" w:color="auto"/>
        <w:right w:val="none" w:sz="0" w:space="0" w:color="auto"/>
      </w:divBdr>
    </w:div>
    <w:div w:id="906912805">
      <w:bodyDiv w:val="1"/>
      <w:marLeft w:val="0"/>
      <w:marRight w:val="0"/>
      <w:marTop w:val="0"/>
      <w:marBottom w:val="0"/>
      <w:divBdr>
        <w:top w:val="none" w:sz="0" w:space="0" w:color="auto"/>
        <w:left w:val="none" w:sz="0" w:space="0" w:color="auto"/>
        <w:bottom w:val="none" w:sz="0" w:space="0" w:color="auto"/>
        <w:right w:val="none" w:sz="0" w:space="0" w:color="auto"/>
      </w:divBdr>
    </w:div>
    <w:div w:id="916401778">
      <w:bodyDiv w:val="1"/>
      <w:marLeft w:val="0"/>
      <w:marRight w:val="0"/>
      <w:marTop w:val="0"/>
      <w:marBottom w:val="0"/>
      <w:divBdr>
        <w:top w:val="none" w:sz="0" w:space="0" w:color="auto"/>
        <w:left w:val="none" w:sz="0" w:space="0" w:color="auto"/>
        <w:bottom w:val="none" w:sz="0" w:space="0" w:color="auto"/>
        <w:right w:val="none" w:sz="0" w:space="0" w:color="auto"/>
      </w:divBdr>
    </w:div>
    <w:div w:id="951858618">
      <w:bodyDiv w:val="1"/>
      <w:marLeft w:val="0"/>
      <w:marRight w:val="0"/>
      <w:marTop w:val="0"/>
      <w:marBottom w:val="0"/>
      <w:divBdr>
        <w:top w:val="none" w:sz="0" w:space="0" w:color="auto"/>
        <w:left w:val="none" w:sz="0" w:space="0" w:color="auto"/>
        <w:bottom w:val="none" w:sz="0" w:space="0" w:color="auto"/>
        <w:right w:val="none" w:sz="0" w:space="0" w:color="auto"/>
      </w:divBdr>
    </w:div>
    <w:div w:id="968974373">
      <w:bodyDiv w:val="1"/>
      <w:marLeft w:val="0"/>
      <w:marRight w:val="0"/>
      <w:marTop w:val="0"/>
      <w:marBottom w:val="0"/>
      <w:divBdr>
        <w:top w:val="none" w:sz="0" w:space="0" w:color="auto"/>
        <w:left w:val="none" w:sz="0" w:space="0" w:color="auto"/>
        <w:bottom w:val="none" w:sz="0" w:space="0" w:color="auto"/>
        <w:right w:val="none" w:sz="0" w:space="0" w:color="auto"/>
      </w:divBdr>
    </w:div>
    <w:div w:id="969095832">
      <w:bodyDiv w:val="1"/>
      <w:marLeft w:val="0"/>
      <w:marRight w:val="0"/>
      <w:marTop w:val="0"/>
      <w:marBottom w:val="0"/>
      <w:divBdr>
        <w:top w:val="none" w:sz="0" w:space="0" w:color="auto"/>
        <w:left w:val="none" w:sz="0" w:space="0" w:color="auto"/>
        <w:bottom w:val="none" w:sz="0" w:space="0" w:color="auto"/>
        <w:right w:val="none" w:sz="0" w:space="0" w:color="auto"/>
      </w:divBdr>
    </w:div>
    <w:div w:id="980618186">
      <w:bodyDiv w:val="1"/>
      <w:marLeft w:val="0"/>
      <w:marRight w:val="0"/>
      <w:marTop w:val="0"/>
      <w:marBottom w:val="0"/>
      <w:divBdr>
        <w:top w:val="none" w:sz="0" w:space="0" w:color="auto"/>
        <w:left w:val="none" w:sz="0" w:space="0" w:color="auto"/>
        <w:bottom w:val="none" w:sz="0" w:space="0" w:color="auto"/>
        <w:right w:val="none" w:sz="0" w:space="0" w:color="auto"/>
      </w:divBdr>
    </w:div>
    <w:div w:id="1018581592">
      <w:bodyDiv w:val="1"/>
      <w:marLeft w:val="0"/>
      <w:marRight w:val="0"/>
      <w:marTop w:val="0"/>
      <w:marBottom w:val="0"/>
      <w:divBdr>
        <w:top w:val="none" w:sz="0" w:space="0" w:color="auto"/>
        <w:left w:val="none" w:sz="0" w:space="0" w:color="auto"/>
        <w:bottom w:val="none" w:sz="0" w:space="0" w:color="auto"/>
        <w:right w:val="none" w:sz="0" w:space="0" w:color="auto"/>
      </w:divBdr>
    </w:div>
    <w:div w:id="1024399111">
      <w:bodyDiv w:val="1"/>
      <w:marLeft w:val="0"/>
      <w:marRight w:val="0"/>
      <w:marTop w:val="0"/>
      <w:marBottom w:val="0"/>
      <w:divBdr>
        <w:top w:val="none" w:sz="0" w:space="0" w:color="auto"/>
        <w:left w:val="none" w:sz="0" w:space="0" w:color="auto"/>
        <w:bottom w:val="none" w:sz="0" w:space="0" w:color="auto"/>
        <w:right w:val="none" w:sz="0" w:space="0" w:color="auto"/>
      </w:divBdr>
    </w:div>
    <w:div w:id="1025906216">
      <w:bodyDiv w:val="1"/>
      <w:marLeft w:val="0"/>
      <w:marRight w:val="0"/>
      <w:marTop w:val="0"/>
      <w:marBottom w:val="0"/>
      <w:divBdr>
        <w:top w:val="none" w:sz="0" w:space="0" w:color="auto"/>
        <w:left w:val="none" w:sz="0" w:space="0" w:color="auto"/>
        <w:bottom w:val="none" w:sz="0" w:space="0" w:color="auto"/>
        <w:right w:val="none" w:sz="0" w:space="0" w:color="auto"/>
      </w:divBdr>
    </w:div>
    <w:div w:id="1040590105">
      <w:bodyDiv w:val="1"/>
      <w:marLeft w:val="0"/>
      <w:marRight w:val="0"/>
      <w:marTop w:val="0"/>
      <w:marBottom w:val="0"/>
      <w:divBdr>
        <w:top w:val="none" w:sz="0" w:space="0" w:color="auto"/>
        <w:left w:val="none" w:sz="0" w:space="0" w:color="auto"/>
        <w:bottom w:val="none" w:sz="0" w:space="0" w:color="auto"/>
        <w:right w:val="none" w:sz="0" w:space="0" w:color="auto"/>
      </w:divBdr>
    </w:div>
    <w:div w:id="1109928930">
      <w:bodyDiv w:val="1"/>
      <w:marLeft w:val="0"/>
      <w:marRight w:val="0"/>
      <w:marTop w:val="0"/>
      <w:marBottom w:val="0"/>
      <w:divBdr>
        <w:top w:val="none" w:sz="0" w:space="0" w:color="auto"/>
        <w:left w:val="none" w:sz="0" w:space="0" w:color="auto"/>
        <w:bottom w:val="none" w:sz="0" w:space="0" w:color="auto"/>
        <w:right w:val="none" w:sz="0" w:space="0" w:color="auto"/>
      </w:divBdr>
    </w:div>
    <w:div w:id="1176769414">
      <w:bodyDiv w:val="1"/>
      <w:marLeft w:val="0"/>
      <w:marRight w:val="0"/>
      <w:marTop w:val="0"/>
      <w:marBottom w:val="0"/>
      <w:divBdr>
        <w:top w:val="none" w:sz="0" w:space="0" w:color="auto"/>
        <w:left w:val="none" w:sz="0" w:space="0" w:color="auto"/>
        <w:bottom w:val="none" w:sz="0" w:space="0" w:color="auto"/>
        <w:right w:val="none" w:sz="0" w:space="0" w:color="auto"/>
      </w:divBdr>
    </w:div>
    <w:div w:id="1250116087">
      <w:bodyDiv w:val="1"/>
      <w:marLeft w:val="0"/>
      <w:marRight w:val="0"/>
      <w:marTop w:val="0"/>
      <w:marBottom w:val="0"/>
      <w:divBdr>
        <w:top w:val="none" w:sz="0" w:space="0" w:color="auto"/>
        <w:left w:val="none" w:sz="0" w:space="0" w:color="auto"/>
        <w:bottom w:val="none" w:sz="0" w:space="0" w:color="auto"/>
        <w:right w:val="none" w:sz="0" w:space="0" w:color="auto"/>
      </w:divBdr>
    </w:div>
    <w:div w:id="1254389285">
      <w:bodyDiv w:val="1"/>
      <w:marLeft w:val="0"/>
      <w:marRight w:val="0"/>
      <w:marTop w:val="0"/>
      <w:marBottom w:val="0"/>
      <w:divBdr>
        <w:top w:val="none" w:sz="0" w:space="0" w:color="auto"/>
        <w:left w:val="none" w:sz="0" w:space="0" w:color="auto"/>
        <w:bottom w:val="none" w:sz="0" w:space="0" w:color="auto"/>
        <w:right w:val="none" w:sz="0" w:space="0" w:color="auto"/>
      </w:divBdr>
    </w:div>
    <w:div w:id="1256551974">
      <w:bodyDiv w:val="1"/>
      <w:marLeft w:val="0"/>
      <w:marRight w:val="0"/>
      <w:marTop w:val="0"/>
      <w:marBottom w:val="0"/>
      <w:divBdr>
        <w:top w:val="none" w:sz="0" w:space="0" w:color="auto"/>
        <w:left w:val="none" w:sz="0" w:space="0" w:color="auto"/>
        <w:bottom w:val="none" w:sz="0" w:space="0" w:color="auto"/>
        <w:right w:val="none" w:sz="0" w:space="0" w:color="auto"/>
      </w:divBdr>
    </w:div>
    <w:div w:id="1271160581">
      <w:bodyDiv w:val="1"/>
      <w:marLeft w:val="0"/>
      <w:marRight w:val="0"/>
      <w:marTop w:val="0"/>
      <w:marBottom w:val="0"/>
      <w:divBdr>
        <w:top w:val="none" w:sz="0" w:space="0" w:color="auto"/>
        <w:left w:val="none" w:sz="0" w:space="0" w:color="auto"/>
        <w:bottom w:val="none" w:sz="0" w:space="0" w:color="auto"/>
        <w:right w:val="none" w:sz="0" w:space="0" w:color="auto"/>
      </w:divBdr>
    </w:div>
    <w:div w:id="1315179025">
      <w:bodyDiv w:val="1"/>
      <w:marLeft w:val="0"/>
      <w:marRight w:val="0"/>
      <w:marTop w:val="0"/>
      <w:marBottom w:val="0"/>
      <w:divBdr>
        <w:top w:val="none" w:sz="0" w:space="0" w:color="auto"/>
        <w:left w:val="none" w:sz="0" w:space="0" w:color="auto"/>
        <w:bottom w:val="none" w:sz="0" w:space="0" w:color="auto"/>
        <w:right w:val="none" w:sz="0" w:space="0" w:color="auto"/>
      </w:divBdr>
    </w:div>
    <w:div w:id="1324890550">
      <w:bodyDiv w:val="1"/>
      <w:marLeft w:val="0"/>
      <w:marRight w:val="0"/>
      <w:marTop w:val="0"/>
      <w:marBottom w:val="0"/>
      <w:divBdr>
        <w:top w:val="none" w:sz="0" w:space="0" w:color="auto"/>
        <w:left w:val="none" w:sz="0" w:space="0" w:color="auto"/>
        <w:bottom w:val="none" w:sz="0" w:space="0" w:color="auto"/>
        <w:right w:val="none" w:sz="0" w:space="0" w:color="auto"/>
      </w:divBdr>
    </w:div>
    <w:div w:id="1325279529">
      <w:bodyDiv w:val="1"/>
      <w:marLeft w:val="0"/>
      <w:marRight w:val="0"/>
      <w:marTop w:val="0"/>
      <w:marBottom w:val="0"/>
      <w:divBdr>
        <w:top w:val="none" w:sz="0" w:space="0" w:color="auto"/>
        <w:left w:val="none" w:sz="0" w:space="0" w:color="auto"/>
        <w:bottom w:val="none" w:sz="0" w:space="0" w:color="auto"/>
        <w:right w:val="none" w:sz="0" w:space="0" w:color="auto"/>
      </w:divBdr>
    </w:div>
    <w:div w:id="1333339147">
      <w:bodyDiv w:val="1"/>
      <w:marLeft w:val="0"/>
      <w:marRight w:val="0"/>
      <w:marTop w:val="0"/>
      <w:marBottom w:val="0"/>
      <w:divBdr>
        <w:top w:val="none" w:sz="0" w:space="0" w:color="auto"/>
        <w:left w:val="none" w:sz="0" w:space="0" w:color="auto"/>
        <w:bottom w:val="none" w:sz="0" w:space="0" w:color="auto"/>
        <w:right w:val="none" w:sz="0" w:space="0" w:color="auto"/>
      </w:divBdr>
    </w:div>
    <w:div w:id="1358461876">
      <w:bodyDiv w:val="1"/>
      <w:marLeft w:val="0"/>
      <w:marRight w:val="0"/>
      <w:marTop w:val="0"/>
      <w:marBottom w:val="0"/>
      <w:divBdr>
        <w:top w:val="none" w:sz="0" w:space="0" w:color="auto"/>
        <w:left w:val="none" w:sz="0" w:space="0" w:color="auto"/>
        <w:bottom w:val="none" w:sz="0" w:space="0" w:color="auto"/>
        <w:right w:val="none" w:sz="0" w:space="0" w:color="auto"/>
      </w:divBdr>
    </w:div>
    <w:div w:id="1366323338">
      <w:bodyDiv w:val="1"/>
      <w:marLeft w:val="0"/>
      <w:marRight w:val="0"/>
      <w:marTop w:val="0"/>
      <w:marBottom w:val="0"/>
      <w:divBdr>
        <w:top w:val="none" w:sz="0" w:space="0" w:color="auto"/>
        <w:left w:val="none" w:sz="0" w:space="0" w:color="auto"/>
        <w:bottom w:val="none" w:sz="0" w:space="0" w:color="auto"/>
        <w:right w:val="none" w:sz="0" w:space="0" w:color="auto"/>
      </w:divBdr>
    </w:div>
    <w:div w:id="1396775309">
      <w:bodyDiv w:val="1"/>
      <w:marLeft w:val="0"/>
      <w:marRight w:val="0"/>
      <w:marTop w:val="0"/>
      <w:marBottom w:val="0"/>
      <w:divBdr>
        <w:top w:val="none" w:sz="0" w:space="0" w:color="auto"/>
        <w:left w:val="none" w:sz="0" w:space="0" w:color="auto"/>
        <w:bottom w:val="none" w:sz="0" w:space="0" w:color="auto"/>
        <w:right w:val="none" w:sz="0" w:space="0" w:color="auto"/>
      </w:divBdr>
    </w:div>
    <w:div w:id="1406149221">
      <w:bodyDiv w:val="1"/>
      <w:marLeft w:val="0"/>
      <w:marRight w:val="0"/>
      <w:marTop w:val="0"/>
      <w:marBottom w:val="0"/>
      <w:divBdr>
        <w:top w:val="none" w:sz="0" w:space="0" w:color="auto"/>
        <w:left w:val="none" w:sz="0" w:space="0" w:color="auto"/>
        <w:bottom w:val="none" w:sz="0" w:space="0" w:color="auto"/>
        <w:right w:val="none" w:sz="0" w:space="0" w:color="auto"/>
      </w:divBdr>
    </w:div>
    <w:div w:id="1433863958">
      <w:bodyDiv w:val="1"/>
      <w:marLeft w:val="0"/>
      <w:marRight w:val="0"/>
      <w:marTop w:val="0"/>
      <w:marBottom w:val="0"/>
      <w:divBdr>
        <w:top w:val="none" w:sz="0" w:space="0" w:color="auto"/>
        <w:left w:val="none" w:sz="0" w:space="0" w:color="auto"/>
        <w:bottom w:val="none" w:sz="0" w:space="0" w:color="auto"/>
        <w:right w:val="none" w:sz="0" w:space="0" w:color="auto"/>
      </w:divBdr>
    </w:div>
    <w:div w:id="1485470353">
      <w:bodyDiv w:val="1"/>
      <w:marLeft w:val="0"/>
      <w:marRight w:val="0"/>
      <w:marTop w:val="0"/>
      <w:marBottom w:val="0"/>
      <w:divBdr>
        <w:top w:val="none" w:sz="0" w:space="0" w:color="auto"/>
        <w:left w:val="none" w:sz="0" w:space="0" w:color="auto"/>
        <w:bottom w:val="none" w:sz="0" w:space="0" w:color="auto"/>
        <w:right w:val="none" w:sz="0" w:space="0" w:color="auto"/>
      </w:divBdr>
    </w:div>
    <w:div w:id="1500389836">
      <w:bodyDiv w:val="1"/>
      <w:marLeft w:val="0"/>
      <w:marRight w:val="0"/>
      <w:marTop w:val="0"/>
      <w:marBottom w:val="0"/>
      <w:divBdr>
        <w:top w:val="none" w:sz="0" w:space="0" w:color="auto"/>
        <w:left w:val="none" w:sz="0" w:space="0" w:color="auto"/>
        <w:bottom w:val="none" w:sz="0" w:space="0" w:color="auto"/>
        <w:right w:val="none" w:sz="0" w:space="0" w:color="auto"/>
      </w:divBdr>
    </w:div>
    <w:div w:id="1526168313">
      <w:bodyDiv w:val="1"/>
      <w:marLeft w:val="0"/>
      <w:marRight w:val="0"/>
      <w:marTop w:val="0"/>
      <w:marBottom w:val="0"/>
      <w:divBdr>
        <w:top w:val="none" w:sz="0" w:space="0" w:color="auto"/>
        <w:left w:val="none" w:sz="0" w:space="0" w:color="auto"/>
        <w:bottom w:val="none" w:sz="0" w:space="0" w:color="auto"/>
        <w:right w:val="none" w:sz="0" w:space="0" w:color="auto"/>
      </w:divBdr>
    </w:div>
    <w:div w:id="1539970770">
      <w:bodyDiv w:val="1"/>
      <w:marLeft w:val="0"/>
      <w:marRight w:val="0"/>
      <w:marTop w:val="0"/>
      <w:marBottom w:val="0"/>
      <w:divBdr>
        <w:top w:val="none" w:sz="0" w:space="0" w:color="auto"/>
        <w:left w:val="none" w:sz="0" w:space="0" w:color="auto"/>
        <w:bottom w:val="none" w:sz="0" w:space="0" w:color="auto"/>
        <w:right w:val="none" w:sz="0" w:space="0" w:color="auto"/>
      </w:divBdr>
    </w:div>
    <w:div w:id="1624535614">
      <w:bodyDiv w:val="1"/>
      <w:marLeft w:val="0"/>
      <w:marRight w:val="0"/>
      <w:marTop w:val="0"/>
      <w:marBottom w:val="0"/>
      <w:divBdr>
        <w:top w:val="none" w:sz="0" w:space="0" w:color="auto"/>
        <w:left w:val="none" w:sz="0" w:space="0" w:color="auto"/>
        <w:bottom w:val="none" w:sz="0" w:space="0" w:color="auto"/>
        <w:right w:val="none" w:sz="0" w:space="0" w:color="auto"/>
      </w:divBdr>
    </w:div>
    <w:div w:id="1640456212">
      <w:bodyDiv w:val="1"/>
      <w:marLeft w:val="0"/>
      <w:marRight w:val="0"/>
      <w:marTop w:val="0"/>
      <w:marBottom w:val="0"/>
      <w:divBdr>
        <w:top w:val="none" w:sz="0" w:space="0" w:color="auto"/>
        <w:left w:val="none" w:sz="0" w:space="0" w:color="auto"/>
        <w:bottom w:val="none" w:sz="0" w:space="0" w:color="auto"/>
        <w:right w:val="none" w:sz="0" w:space="0" w:color="auto"/>
      </w:divBdr>
    </w:div>
    <w:div w:id="1665744860">
      <w:bodyDiv w:val="1"/>
      <w:marLeft w:val="0"/>
      <w:marRight w:val="0"/>
      <w:marTop w:val="0"/>
      <w:marBottom w:val="0"/>
      <w:divBdr>
        <w:top w:val="none" w:sz="0" w:space="0" w:color="auto"/>
        <w:left w:val="none" w:sz="0" w:space="0" w:color="auto"/>
        <w:bottom w:val="none" w:sz="0" w:space="0" w:color="auto"/>
        <w:right w:val="none" w:sz="0" w:space="0" w:color="auto"/>
      </w:divBdr>
    </w:div>
    <w:div w:id="1687320118">
      <w:bodyDiv w:val="1"/>
      <w:marLeft w:val="0"/>
      <w:marRight w:val="0"/>
      <w:marTop w:val="0"/>
      <w:marBottom w:val="0"/>
      <w:divBdr>
        <w:top w:val="none" w:sz="0" w:space="0" w:color="auto"/>
        <w:left w:val="none" w:sz="0" w:space="0" w:color="auto"/>
        <w:bottom w:val="none" w:sz="0" w:space="0" w:color="auto"/>
        <w:right w:val="none" w:sz="0" w:space="0" w:color="auto"/>
      </w:divBdr>
    </w:div>
    <w:div w:id="1717465832">
      <w:bodyDiv w:val="1"/>
      <w:marLeft w:val="0"/>
      <w:marRight w:val="0"/>
      <w:marTop w:val="0"/>
      <w:marBottom w:val="0"/>
      <w:divBdr>
        <w:top w:val="none" w:sz="0" w:space="0" w:color="auto"/>
        <w:left w:val="none" w:sz="0" w:space="0" w:color="auto"/>
        <w:bottom w:val="none" w:sz="0" w:space="0" w:color="auto"/>
        <w:right w:val="none" w:sz="0" w:space="0" w:color="auto"/>
      </w:divBdr>
    </w:div>
    <w:div w:id="1724133818">
      <w:bodyDiv w:val="1"/>
      <w:marLeft w:val="0"/>
      <w:marRight w:val="0"/>
      <w:marTop w:val="0"/>
      <w:marBottom w:val="0"/>
      <w:divBdr>
        <w:top w:val="none" w:sz="0" w:space="0" w:color="auto"/>
        <w:left w:val="none" w:sz="0" w:space="0" w:color="auto"/>
        <w:bottom w:val="none" w:sz="0" w:space="0" w:color="auto"/>
        <w:right w:val="none" w:sz="0" w:space="0" w:color="auto"/>
      </w:divBdr>
    </w:div>
    <w:div w:id="1725565182">
      <w:bodyDiv w:val="1"/>
      <w:marLeft w:val="0"/>
      <w:marRight w:val="0"/>
      <w:marTop w:val="0"/>
      <w:marBottom w:val="0"/>
      <w:divBdr>
        <w:top w:val="none" w:sz="0" w:space="0" w:color="auto"/>
        <w:left w:val="none" w:sz="0" w:space="0" w:color="auto"/>
        <w:bottom w:val="none" w:sz="0" w:space="0" w:color="auto"/>
        <w:right w:val="none" w:sz="0" w:space="0" w:color="auto"/>
      </w:divBdr>
    </w:div>
    <w:div w:id="1729986367">
      <w:bodyDiv w:val="1"/>
      <w:marLeft w:val="0"/>
      <w:marRight w:val="0"/>
      <w:marTop w:val="0"/>
      <w:marBottom w:val="0"/>
      <w:divBdr>
        <w:top w:val="none" w:sz="0" w:space="0" w:color="auto"/>
        <w:left w:val="none" w:sz="0" w:space="0" w:color="auto"/>
        <w:bottom w:val="none" w:sz="0" w:space="0" w:color="auto"/>
        <w:right w:val="none" w:sz="0" w:space="0" w:color="auto"/>
      </w:divBdr>
    </w:div>
    <w:div w:id="1868637145">
      <w:bodyDiv w:val="1"/>
      <w:marLeft w:val="0"/>
      <w:marRight w:val="0"/>
      <w:marTop w:val="0"/>
      <w:marBottom w:val="0"/>
      <w:divBdr>
        <w:top w:val="none" w:sz="0" w:space="0" w:color="auto"/>
        <w:left w:val="none" w:sz="0" w:space="0" w:color="auto"/>
        <w:bottom w:val="none" w:sz="0" w:space="0" w:color="auto"/>
        <w:right w:val="none" w:sz="0" w:space="0" w:color="auto"/>
      </w:divBdr>
    </w:div>
    <w:div w:id="1873227869">
      <w:bodyDiv w:val="1"/>
      <w:marLeft w:val="0"/>
      <w:marRight w:val="0"/>
      <w:marTop w:val="0"/>
      <w:marBottom w:val="0"/>
      <w:divBdr>
        <w:top w:val="none" w:sz="0" w:space="0" w:color="auto"/>
        <w:left w:val="none" w:sz="0" w:space="0" w:color="auto"/>
        <w:bottom w:val="none" w:sz="0" w:space="0" w:color="auto"/>
        <w:right w:val="none" w:sz="0" w:space="0" w:color="auto"/>
      </w:divBdr>
    </w:div>
    <w:div w:id="1912305364">
      <w:bodyDiv w:val="1"/>
      <w:marLeft w:val="0"/>
      <w:marRight w:val="0"/>
      <w:marTop w:val="0"/>
      <w:marBottom w:val="0"/>
      <w:divBdr>
        <w:top w:val="none" w:sz="0" w:space="0" w:color="auto"/>
        <w:left w:val="none" w:sz="0" w:space="0" w:color="auto"/>
        <w:bottom w:val="none" w:sz="0" w:space="0" w:color="auto"/>
        <w:right w:val="none" w:sz="0" w:space="0" w:color="auto"/>
      </w:divBdr>
    </w:div>
    <w:div w:id="1965694608">
      <w:bodyDiv w:val="1"/>
      <w:marLeft w:val="0"/>
      <w:marRight w:val="0"/>
      <w:marTop w:val="0"/>
      <w:marBottom w:val="0"/>
      <w:divBdr>
        <w:top w:val="none" w:sz="0" w:space="0" w:color="auto"/>
        <w:left w:val="none" w:sz="0" w:space="0" w:color="auto"/>
        <w:bottom w:val="none" w:sz="0" w:space="0" w:color="auto"/>
        <w:right w:val="none" w:sz="0" w:space="0" w:color="auto"/>
      </w:divBdr>
    </w:div>
    <w:div w:id="1982465584">
      <w:bodyDiv w:val="1"/>
      <w:marLeft w:val="0"/>
      <w:marRight w:val="0"/>
      <w:marTop w:val="0"/>
      <w:marBottom w:val="0"/>
      <w:divBdr>
        <w:top w:val="none" w:sz="0" w:space="0" w:color="auto"/>
        <w:left w:val="none" w:sz="0" w:space="0" w:color="auto"/>
        <w:bottom w:val="none" w:sz="0" w:space="0" w:color="auto"/>
        <w:right w:val="none" w:sz="0" w:space="0" w:color="auto"/>
      </w:divBdr>
    </w:div>
    <w:div w:id="1996451313">
      <w:bodyDiv w:val="1"/>
      <w:marLeft w:val="0"/>
      <w:marRight w:val="0"/>
      <w:marTop w:val="0"/>
      <w:marBottom w:val="0"/>
      <w:divBdr>
        <w:top w:val="none" w:sz="0" w:space="0" w:color="auto"/>
        <w:left w:val="none" w:sz="0" w:space="0" w:color="auto"/>
        <w:bottom w:val="none" w:sz="0" w:space="0" w:color="auto"/>
        <w:right w:val="none" w:sz="0" w:space="0" w:color="auto"/>
      </w:divBdr>
    </w:div>
    <w:div w:id="1997606406">
      <w:bodyDiv w:val="1"/>
      <w:marLeft w:val="0"/>
      <w:marRight w:val="0"/>
      <w:marTop w:val="0"/>
      <w:marBottom w:val="0"/>
      <w:divBdr>
        <w:top w:val="none" w:sz="0" w:space="0" w:color="auto"/>
        <w:left w:val="none" w:sz="0" w:space="0" w:color="auto"/>
        <w:bottom w:val="none" w:sz="0" w:space="0" w:color="auto"/>
        <w:right w:val="none" w:sz="0" w:space="0" w:color="auto"/>
      </w:divBdr>
    </w:div>
    <w:div w:id="2049715828">
      <w:bodyDiv w:val="1"/>
      <w:marLeft w:val="0"/>
      <w:marRight w:val="0"/>
      <w:marTop w:val="0"/>
      <w:marBottom w:val="0"/>
      <w:divBdr>
        <w:top w:val="none" w:sz="0" w:space="0" w:color="auto"/>
        <w:left w:val="none" w:sz="0" w:space="0" w:color="auto"/>
        <w:bottom w:val="none" w:sz="0" w:space="0" w:color="auto"/>
        <w:right w:val="none" w:sz="0" w:space="0" w:color="auto"/>
      </w:divBdr>
    </w:div>
    <w:div w:id="2084133835">
      <w:bodyDiv w:val="1"/>
      <w:marLeft w:val="0"/>
      <w:marRight w:val="0"/>
      <w:marTop w:val="0"/>
      <w:marBottom w:val="0"/>
      <w:divBdr>
        <w:top w:val="none" w:sz="0" w:space="0" w:color="auto"/>
        <w:left w:val="none" w:sz="0" w:space="0" w:color="auto"/>
        <w:bottom w:val="none" w:sz="0" w:space="0" w:color="auto"/>
        <w:right w:val="none" w:sz="0" w:space="0" w:color="auto"/>
      </w:divBdr>
    </w:div>
    <w:div w:id="211008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1</Pages>
  <Words>5133</Words>
  <Characters>29928</Characters>
  <Application>Microsoft Office Word</Application>
  <DocSecurity>0</DocSecurity>
  <Lines>855</Lines>
  <Paragraphs>271</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34790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Coyle, Aileen</dc:creator>
  <cp:keywords/>
  <dc:description/>
  <cp:lastModifiedBy>Coyle, Aileen</cp:lastModifiedBy>
  <cp:revision>20</cp:revision>
  <dcterms:created xsi:type="dcterms:W3CDTF">2022-05-20T12:28:00Z</dcterms:created>
  <dcterms:modified xsi:type="dcterms:W3CDTF">2026-10-09T12:16:00Z</dcterms:modified>
</cp:coreProperties>
</file>