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33F8" w14:textId="77777777" w:rsidR="00624E1D" w:rsidRDefault="00624E1D" w:rsidP="00D31ACF">
      <w:pPr>
        <w:jc w:val="center"/>
        <w:rPr>
          <w:rFonts w:cs="Arial"/>
          <w:b/>
        </w:rPr>
      </w:pPr>
    </w:p>
    <w:p w14:paraId="47516ED2" w14:textId="077C0E6B" w:rsidR="00D31ACF" w:rsidRPr="00921FF1" w:rsidRDefault="00C528F4" w:rsidP="00D31ACF">
      <w:pPr>
        <w:jc w:val="center"/>
        <w:rPr>
          <w:rFonts w:cs="Arial"/>
          <w:b/>
        </w:rPr>
      </w:pPr>
      <w:r w:rsidRPr="007C2E41">
        <w:rPr>
          <w:rFonts w:cs="Arial"/>
          <w:b/>
        </w:rPr>
        <w:t xml:space="preserve">DRAFT </w:t>
      </w:r>
      <w:r w:rsidR="00D31ACF" w:rsidRPr="00921FF1">
        <w:rPr>
          <w:rFonts w:cs="Arial"/>
          <w:b/>
        </w:rPr>
        <w:t xml:space="preserve">MINUTES OF </w:t>
      </w:r>
      <w:r w:rsidR="007C2E41">
        <w:rPr>
          <w:rFonts w:cs="Arial"/>
          <w:b/>
        </w:rPr>
        <w:t>DELIVERY</w:t>
      </w:r>
      <w:r w:rsidR="007B1D80">
        <w:rPr>
          <w:rFonts w:cs="Arial"/>
          <w:b/>
        </w:rPr>
        <w:t xml:space="preserve"> COMMITTEE</w:t>
      </w:r>
      <w:r w:rsidR="00D31ACF" w:rsidRPr="00921FF1">
        <w:rPr>
          <w:rFonts w:cs="Arial"/>
          <w:b/>
        </w:rPr>
        <w:t xml:space="preserve"> MEETING</w:t>
      </w:r>
    </w:p>
    <w:p w14:paraId="1A153DDE" w14:textId="6BFF360C" w:rsidR="00B834BE" w:rsidRPr="00921FF1" w:rsidRDefault="00A23C12" w:rsidP="00D31ACF">
      <w:pPr>
        <w:jc w:val="center"/>
        <w:rPr>
          <w:rFonts w:cs="Arial"/>
          <w:b/>
        </w:rPr>
      </w:pPr>
      <w:r>
        <w:rPr>
          <w:rFonts w:cs="Arial"/>
          <w:b/>
        </w:rPr>
        <w:t>MON</w:t>
      </w:r>
      <w:r w:rsidR="00D31ACF" w:rsidRPr="00921FF1">
        <w:rPr>
          <w:rFonts w:cs="Arial"/>
          <w:b/>
        </w:rPr>
        <w:t xml:space="preserve">DAY </w:t>
      </w:r>
      <w:r>
        <w:rPr>
          <w:rFonts w:cs="Arial"/>
          <w:b/>
        </w:rPr>
        <w:t>08 APRIL</w:t>
      </w:r>
      <w:r w:rsidR="00A12684" w:rsidRPr="00921FF1">
        <w:rPr>
          <w:rFonts w:cs="Arial"/>
          <w:b/>
        </w:rPr>
        <w:t xml:space="preserve"> 201</w:t>
      </w:r>
      <w:r>
        <w:rPr>
          <w:rFonts w:cs="Arial"/>
          <w:b/>
        </w:rPr>
        <w:t>9</w:t>
      </w:r>
      <w:r w:rsidR="00D31ACF" w:rsidRPr="00921FF1">
        <w:rPr>
          <w:rFonts w:cs="Arial"/>
          <w:b/>
        </w:rPr>
        <w:t xml:space="preserve"> </w:t>
      </w:r>
      <w:r w:rsidR="00D31ACF" w:rsidRPr="00921FF1">
        <w:rPr>
          <w:rFonts w:cs="Arial"/>
          <w:b/>
        </w:rPr>
        <w:br/>
      </w:r>
      <w:r w:rsidR="00A12684" w:rsidRPr="00921FF1">
        <w:rPr>
          <w:rFonts w:cs="Arial"/>
          <w:b/>
        </w:rPr>
        <w:t xml:space="preserve">ROOM </w:t>
      </w:r>
      <w:r w:rsidR="00CA25A7">
        <w:rPr>
          <w:rFonts w:cs="Arial"/>
          <w:b/>
        </w:rPr>
        <w:t>2</w:t>
      </w:r>
      <w:r w:rsidR="007C2E41">
        <w:rPr>
          <w:rFonts w:cs="Arial"/>
          <w:b/>
        </w:rPr>
        <w:t>29</w:t>
      </w:r>
      <w:r w:rsidR="00CA25A7">
        <w:rPr>
          <w:rFonts w:cs="Arial"/>
          <w:b/>
        </w:rPr>
        <w:t>, DUNDONALD HOUSE &amp; BALLYKELLY</w:t>
      </w:r>
      <w:r w:rsidR="007C2E41">
        <w:rPr>
          <w:rFonts w:cs="Arial"/>
          <w:b/>
        </w:rPr>
        <w:t xml:space="preserve"> VIDEO LINK</w:t>
      </w:r>
    </w:p>
    <w:p w14:paraId="3BF31D61" w14:textId="77777777" w:rsidR="00D31ACF" w:rsidRPr="00921FF1" w:rsidRDefault="00D31ACF" w:rsidP="00FC0AB1">
      <w:pPr>
        <w:rPr>
          <w:rFonts w:cs="Arial"/>
          <w:b/>
        </w:rPr>
      </w:pPr>
    </w:p>
    <w:p w14:paraId="3046FA91" w14:textId="302B784D" w:rsidR="00A3549E" w:rsidRPr="00921FF1" w:rsidRDefault="00A3549E" w:rsidP="00A3549E">
      <w:pPr>
        <w:rPr>
          <w:rFonts w:cs="Arial"/>
        </w:rPr>
      </w:pPr>
    </w:p>
    <w:p w14:paraId="32FAAA1A" w14:textId="77777777" w:rsidR="00AC08D3" w:rsidRDefault="004430D4" w:rsidP="00AC08D3">
      <w:pPr>
        <w:ind w:left="2880" w:hanging="2880"/>
        <w:rPr>
          <w:rFonts w:cs="Arial"/>
          <w:b/>
        </w:rPr>
      </w:pPr>
      <w:r w:rsidRPr="004430D4">
        <w:rPr>
          <w:rFonts w:cs="Arial"/>
          <w:b/>
        </w:rPr>
        <w:t>In Attendance:</w:t>
      </w:r>
      <w:r w:rsidR="00AC08D3">
        <w:rPr>
          <w:rFonts w:cs="Arial"/>
          <w:b/>
        </w:rPr>
        <w:tab/>
      </w:r>
    </w:p>
    <w:p w14:paraId="5804F44E" w14:textId="77777777" w:rsidR="00A23C12" w:rsidRDefault="00A23C12" w:rsidP="00A23C12">
      <w:pPr>
        <w:rPr>
          <w:rFonts w:cs="Arial"/>
        </w:rPr>
      </w:pPr>
      <w:r>
        <w:rPr>
          <w:rFonts w:cs="Arial"/>
        </w:rPr>
        <w:t>Brian Doherty</w:t>
      </w:r>
      <w:r>
        <w:rPr>
          <w:rFonts w:cs="Arial"/>
        </w:rPr>
        <w:tab/>
      </w:r>
      <w:r>
        <w:rPr>
          <w:rFonts w:cs="Arial"/>
        </w:rPr>
        <w:tab/>
        <w:t>Director of Corporate Services (Chair via video link)</w:t>
      </w:r>
    </w:p>
    <w:p w14:paraId="034E3BFD" w14:textId="0E0BE7B2" w:rsidR="007C2E41" w:rsidRDefault="007C2E41" w:rsidP="007C2E41">
      <w:pPr>
        <w:rPr>
          <w:rFonts w:cs="Arial"/>
        </w:rPr>
      </w:pPr>
      <w:r w:rsidRPr="00921FF1">
        <w:rPr>
          <w:rFonts w:cs="Arial"/>
        </w:rPr>
        <w:t>David Reid</w:t>
      </w:r>
      <w:r w:rsidRPr="00921FF1">
        <w:rPr>
          <w:rFonts w:cs="Arial"/>
        </w:rPr>
        <w:tab/>
      </w:r>
      <w:r w:rsidRPr="00921FF1">
        <w:rPr>
          <w:rFonts w:cs="Arial"/>
        </w:rPr>
        <w:tab/>
      </w:r>
      <w:r w:rsidRPr="00921FF1">
        <w:rPr>
          <w:rFonts w:cs="Arial"/>
        </w:rPr>
        <w:tab/>
        <w:t>Director of Finance</w:t>
      </w:r>
      <w:r>
        <w:rPr>
          <w:rFonts w:cs="Arial"/>
        </w:rPr>
        <w:t xml:space="preserve"> (via video link)</w:t>
      </w:r>
    </w:p>
    <w:p w14:paraId="74119506" w14:textId="77777777" w:rsidR="00DF54D4" w:rsidRDefault="00DF54D4" w:rsidP="00DF54D4">
      <w:pPr>
        <w:rPr>
          <w:rFonts w:cs="Arial"/>
        </w:rPr>
      </w:pPr>
      <w:r>
        <w:rPr>
          <w:rFonts w:cs="Arial"/>
        </w:rPr>
        <w:t>Anna Campbell</w:t>
      </w:r>
      <w:r>
        <w:rPr>
          <w:rFonts w:cs="Arial"/>
        </w:rPr>
        <w:tab/>
      </w:r>
      <w:r>
        <w:rPr>
          <w:rFonts w:cs="Arial"/>
        </w:rPr>
        <w:tab/>
        <w:t>European Services (via video link)</w:t>
      </w:r>
    </w:p>
    <w:p w14:paraId="76B556C7" w14:textId="25CEFD04" w:rsidR="00A23C12" w:rsidRDefault="00A23C12" w:rsidP="00A23C12">
      <w:pPr>
        <w:ind w:left="2880" w:hanging="2880"/>
        <w:rPr>
          <w:rFonts w:cs="Arial"/>
        </w:rPr>
      </w:pPr>
      <w:r>
        <w:rPr>
          <w:rFonts w:cs="Arial"/>
        </w:rPr>
        <w:t>Jason Foy</w:t>
      </w:r>
      <w:r>
        <w:rPr>
          <w:rFonts w:cs="Arial"/>
        </w:rPr>
        <w:tab/>
        <w:t>EU Area Based Schemes (via video link)</w:t>
      </w:r>
    </w:p>
    <w:p w14:paraId="569E9E18" w14:textId="040E7232" w:rsidR="00DF54D4" w:rsidRPr="0040309F" w:rsidRDefault="00DF54D4" w:rsidP="00A23C12">
      <w:pPr>
        <w:ind w:left="2880" w:hanging="2880"/>
        <w:rPr>
          <w:rFonts w:cs="Arial"/>
        </w:rPr>
      </w:pPr>
      <w:r>
        <w:rPr>
          <w:rFonts w:cs="Arial"/>
        </w:rPr>
        <w:t>Brian Dooher</w:t>
      </w:r>
      <w:r>
        <w:rPr>
          <w:rFonts w:cs="Arial"/>
        </w:rPr>
        <w:tab/>
        <w:t>Veterinary Service (via video link)</w:t>
      </w:r>
    </w:p>
    <w:p w14:paraId="084C2CA0" w14:textId="51756EE0" w:rsidR="000133C6" w:rsidRDefault="00DF54D4" w:rsidP="000133C6">
      <w:pPr>
        <w:rPr>
          <w:rFonts w:cs="Arial"/>
        </w:rPr>
      </w:pPr>
      <w:r>
        <w:rPr>
          <w:rFonts w:cs="Arial"/>
        </w:rPr>
        <w:t>Theresa Kearney</w:t>
      </w:r>
      <w:r>
        <w:rPr>
          <w:rFonts w:cs="Arial"/>
        </w:rPr>
        <w:tab/>
      </w:r>
      <w:r w:rsidR="000133C6">
        <w:rPr>
          <w:rFonts w:cs="Arial"/>
        </w:rPr>
        <w:tab/>
        <w:t>NIEA</w:t>
      </w:r>
    </w:p>
    <w:p w14:paraId="6D58B955" w14:textId="32A268BE" w:rsidR="000133C6" w:rsidRDefault="000133C6" w:rsidP="000133C6">
      <w:pPr>
        <w:rPr>
          <w:rFonts w:cs="Arial"/>
        </w:rPr>
      </w:pPr>
      <w:r>
        <w:rPr>
          <w:rFonts w:cs="Arial"/>
        </w:rPr>
        <w:t>John Joe O’Boyle</w:t>
      </w:r>
      <w:r>
        <w:rPr>
          <w:rFonts w:cs="Arial"/>
        </w:rPr>
        <w:tab/>
      </w:r>
      <w:r>
        <w:rPr>
          <w:rFonts w:cs="Arial"/>
        </w:rPr>
        <w:tab/>
        <w:t>Forest Service</w:t>
      </w:r>
    </w:p>
    <w:p w14:paraId="592B2D62" w14:textId="77777777" w:rsidR="00DF54D4" w:rsidRDefault="00DF54D4" w:rsidP="00DF54D4">
      <w:pPr>
        <w:rPr>
          <w:rFonts w:cs="Arial"/>
        </w:rPr>
      </w:pPr>
      <w:r>
        <w:rPr>
          <w:rFonts w:cs="Arial"/>
        </w:rPr>
        <w:t xml:space="preserve">Paul McGurnaghan </w:t>
      </w:r>
      <w:r>
        <w:rPr>
          <w:rFonts w:cs="Arial"/>
        </w:rPr>
        <w:tab/>
      </w:r>
      <w:r>
        <w:rPr>
          <w:rFonts w:cs="Arial"/>
        </w:rPr>
        <w:tab/>
        <w:t>Digital Services</w:t>
      </w:r>
    </w:p>
    <w:p w14:paraId="59088413" w14:textId="77777777" w:rsidR="00DF54D4" w:rsidRDefault="00DF54D4" w:rsidP="00DF54D4">
      <w:pPr>
        <w:rPr>
          <w:rFonts w:cs="Arial"/>
        </w:rPr>
      </w:pPr>
      <w:r>
        <w:rPr>
          <w:rFonts w:cs="Arial"/>
        </w:rPr>
        <w:t>Jackie Robinson</w:t>
      </w:r>
      <w:r>
        <w:rPr>
          <w:rFonts w:cs="Arial"/>
        </w:rPr>
        <w:tab/>
      </w:r>
      <w:r>
        <w:rPr>
          <w:rFonts w:cs="Arial"/>
        </w:rPr>
        <w:tab/>
        <w:t>Veterinary Service</w:t>
      </w:r>
    </w:p>
    <w:p w14:paraId="67D35CF7" w14:textId="57EB2D05" w:rsidR="000133C6" w:rsidRDefault="000133C6" w:rsidP="000133C6">
      <w:pPr>
        <w:rPr>
          <w:rFonts w:cs="Arial"/>
        </w:rPr>
      </w:pPr>
      <w:r>
        <w:rPr>
          <w:rFonts w:cs="Arial"/>
        </w:rPr>
        <w:t>Michael Hatch</w:t>
      </w:r>
      <w:r>
        <w:rPr>
          <w:rFonts w:cs="Arial"/>
        </w:rPr>
        <w:tab/>
      </w:r>
      <w:r>
        <w:rPr>
          <w:rFonts w:cs="Arial"/>
        </w:rPr>
        <w:tab/>
        <w:t>Veterinary Service</w:t>
      </w:r>
    </w:p>
    <w:p w14:paraId="2174CD0D" w14:textId="77777777" w:rsidR="00DF54D4" w:rsidRDefault="00DF54D4" w:rsidP="00DF54D4">
      <w:pPr>
        <w:rPr>
          <w:rFonts w:cs="Arial"/>
        </w:rPr>
      </w:pPr>
      <w:r>
        <w:rPr>
          <w:rFonts w:cs="Arial"/>
        </w:rPr>
        <w:t>Colette McMaster</w:t>
      </w:r>
      <w:r>
        <w:rPr>
          <w:rFonts w:cs="Arial"/>
        </w:rPr>
        <w:tab/>
      </w:r>
      <w:r>
        <w:rPr>
          <w:rFonts w:cs="Arial"/>
        </w:rPr>
        <w:tab/>
        <w:t>Sustainable Agri Food Development</w:t>
      </w:r>
      <w:r>
        <w:rPr>
          <w:rFonts w:cs="Arial"/>
        </w:rPr>
        <w:tab/>
      </w:r>
    </w:p>
    <w:p w14:paraId="7F7A3015" w14:textId="77777777" w:rsidR="00DF54D4" w:rsidRDefault="00DF54D4" w:rsidP="00DF54D4">
      <w:pPr>
        <w:rPr>
          <w:rFonts w:cs="Arial"/>
        </w:rPr>
      </w:pPr>
      <w:r>
        <w:rPr>
          <w:rFonts w:cs="Arial"/>
        </w:rPr>
        <w:t>Jonathon McFerran</w:t>
      </w:r>
      <w:r>
        <w:rPr>
          <w:rFonts w:cs="Arial"/>
        </w:rPr>
        <w:tab/>
      </w:r>
      <w:r>
        <w:rPr>
          <w:rFonts w:cs="Arial"/>
        </w:rPr>
        <w:tab/>
        <w:t>Brexit</w:t>
      </w:r>
    </w:p>
    <w:p w14:paraId="0D939CF4" w14:textId="3C78C11E" w:rsidR="00DF54D4" w:rsidRDefault="00DF54D4" w:rsidP="00DF54D4">
      <w:pPr>
        <w:rPr>
          <w:rFonts w:cs="Arial"/>
        </w:rPr>
      </w:pPr>
      <w:r>
        <w:rPr>
          <w:rFonts w:cs="Arial"/>
        </w:rPr>
        <w:t>David Torrens</w:t>
      </w:r>
      <w:r>
        <w:rPr>
          <w:rFonts w:cs="Arial"/>
        </w:rPr>
        <w:tab/>
      </w:r>
      <w:r>
        <w:rPr>
          <w:rFonts w:cs="Arial"/>
        </w:rPr>
        <w:tab/>
        <w:t>Veterinary Service</w:t>
      </w:r>
    </w:p>
    <w:p w14:paraId="37FA57E2" w14:textId="77777777" w:rsidR="00DF54D4" w:rsidRDefault="00DF54D4" w:rsidP="00DF54D4">
      <w:pPr>
        <w:ind w:left="2880" w:hanging="2880"/>
        <w:rPr>
          <w:rFonts w:cs="Arial"/>
        </w:rPr>
      </w:pPr>
      <w:r w:rsidRPr="0040309F">
        <w:rPr>
          <w:rFonts w:cs="Arial"/>
        </w:rPr>
        <w:t>Lynda Lowe</w:t>
      </w:r>
      <w:r w:rsidRPr="0040309F">
        <w:rPr>
          <w:rFonts w:cs="Arial"/>
        </w:rPr>
        <w:tab/>
        <w:t>Head of Financial Policy Branch</w:t>
      </w:r>
    </w:p>
    <w:p w14:paraId="550237F8" w14:textId="56F30289" w:rsidR="00051C88" w:rsidRDefault="00051C88" w:rsidP="000133C6">
      <w:pPr>
        <w:ind w:left="2880" w:hanging="2880"/>
        <w:rPr>
          <w:rFonts w:cs="Arial"/>
          <w:b/>
        </w:rPr>
      </w:pPr>
    </w:p>
    <w:p w14:paraId="24DA38D6" w14:textId="77777777" w:rsidR="00AC08D3" w:rsidRDefault="00D31ACF" w:rsidP="00955D6E">
      <w:pPr>
        <w:rPr>
          <w:rFonts w:cs="Arial"/>
          <w:b/>
        </w:rPr>
      </w:pPr>
      <w:r w:rsidRPr="00921FF1">
        <w:rPr>
          <w:rFonts w:cs="Arial"/>
          <w:b/>
        </w:rPr>
        <w:t>Apologies:</w:t>
      </w:r>
      <w:r w:rsidR="00051C88">
        <w:rPr>
          <w:rFonts w:cs="Arial"/>
          <w:b/>
        </w:rPr>
        <w:t xml:space="preserve"> </w:t>
      </w:r>
      <w:r w:rsidR="00051C88">
        <w:rPr>
          <w:rFonts w:cs="Arial"/>
          <w:b/>
        </w:rPr>
        <w:tab/>
      </w:r>
      <w:r w:rsidR="00051C88">
        <w:rPr>
          <w:rFonts w:cs="Arial"/>
          <w:b/>
        </w:rPr>
        <w:tab/>
      </w:r>
      <w:r w:rsidR="00051C88">
        <w:rPr>
          <w:rFonts w:cs="Arial"/>
          <w:b/>
        </w:rPr>
        <w:tab/>
      </w:r>
    </w:p>
    <w:p w14:paraId="67CC2954" w14:textId="23FA7125" w:rsidR="00DF54D4" w:rsidRDefault="00DF54D4" w:rsidP="007C2E41">
      <w:pPr>
        <w:ind w:left="2880" w:hanging="2880"/>
        <w:rPr>
          <w:rFonts w:cs="Arial"/>
        </w:rPr>
      </w:pPr>
      <w:r>
        <w:rPr>
          <w:rFonts w:cs="Arial"/>
        </w:rPr>
        <w:t>Tracey Teague</w:t>
      </w:r>
      <w:r>
        <w:rPr>
          <w:rFonts w:cs="Arial"/>
        </w:rPr>
        <w:tab/>
        <w:t>NIEA</w:t>
      </w:r>
      <w:r>
        <w:rPr>
          <w:rFonts w:cs="Arial"/>
        </w:rPr>
        <w:tab/>
      </w:r>
    </w:p>
    <w:p w14:paraId="47D94026" w14:textId="264C7EFE" w:rsidR="00F01F28" w:rsidRDefault="000133C6" w:rsidP="00F01F28">
      <w:pPr>
        <w:rPr>
          <w:rFonts w:cs="Arial"/>
        </w:rPr>
      </w:pPr>
      <w:r>
        <w:rPr>
          <w:rFonts w:cs="Arial"/>
        </w:rPr>
        <w:t>Rosemary Agnew</w:t>
      </w:r>
      <w:r>
        <w:rPr>
          <w:rFonts w:cs="Arial"/>
        </w:rPr>
        <w:tab/>
      </w:r>
      <w:r>
        <w:rPr>
          <w:rFonts w:cs="Arial"/>
        </w:rPr>
        <w:tab/>
        <w:t>Brexit</w:t>
      </w:r>
    </w:p>
    <w:p w14:paraId="319DCEAF" w14:textId="08F5BE9F" w:rsidR="00DF54D4" w:rsidRDefault="00DF54D4" w:rsidP="00F01F28">
      <w:pPr>
        <w:rPr>
          <w:rFonts w:cs="Arial"/>
        </w:rPr>
      </w:pPr>
      <w:r>
        <w:rPr>
          <w:rFonts w:cs="Arial"/>
        </w:rPr>
        <w:t>Perpetua McNamee</w:t>
      </w:r>
      <w:r>
        <w:rPr>
          <w:rFonts w:cs="Arial"/>
        </w:rPr>
        <w:tab/>
      </w:r>
      <w:r>
        <w:rPr>
          <w:rFonts w:cs="Arial"/>
        </w:rPr>
        <w:tab/>
        <w:t>Veterinary Service</w:t>
      </w:r>
    </w:p>
    <w:p w14:paraId="4DD989CD" w14:textId="77777777" w:rsidR="00D31ACF" w:rsidRPr="00921FF1" w:rsidRDefault="00D31ACF" w:rsidP="00955D6E">
      <w:pPr>
        <w:rPr>
          <w:rFonts w:cs="Arial"/>
        </w:rPr>
      </w:pPr>
    </w:p>
    <w:p w14:paraId="2D884F39" w14:textId="77777777" w:rsidR="00D31ACF" w:rsidRPr="005D6EBD" w:rsidRDefault="005D6EBD" w:rsidP="00FC0AB1">
      <w:pPr>
        <w:rPr>
          <w:rFonts w:cs="Arial"/>
          <w:b/>
        </w:rPr>
      </w:pPr>
      <w:r w:rsidRPr="005D6EBD">
        <w:rPr>
          <w:rFonts w:cs="Arial"/>
          <w:b/>
        </w:rPr>
        <w:t>Secretariat</w:t>
      </w:r>
      <w:r w:rsidR="004A4FA0" w:rsidRPr="005D6EBD">
        <w:rPr>
          <w:rFonts w:cs="Arial"/>
          <w:b/>
        </w:rPr>
        <w:t>:</w:t>
      </w:r>
    </w:p>
    <w:p w14:paraId="4255864D" w14:textId="025327FB" w:rsidR="00F01F28" w:rsidRDefault="00F01F28" w:rsidP="00F01F28">
      <w:pPr>
        <w:ind w:left="2880" w:hanging="2880"/>
        <w:rPr>
          <w:rFonts w:cs="Arial"/>
        </w:rPr>
      </w:pPr>
      <w:r>
        <w:rPr>
          <w:rFonts w:cs="Arial"/>
        </w:rPr>
        <w:t>Gary Humphries</w:t>
      </w:r>
      <w:r w:rsidR="00B56198">
        <w:rPr>
          <w:rFonts w:cs="Arial"/>
        </w:rPr>
        <w:tab/>
        <w:t>Financial Policy Branch</w:t>
      </w:r>
    </w:p>
    <w:p w14:paraId="6D075234" w14:textId="26E49960" w:rsidR="00F01F28" w:rsidRDefault="00CA25A7" w:rsidP="00F01F28">
      <w:pPr>
        <w:ind w:left="2880" w:hanging="2880"/>
        <w:rPr>
          <w:rFonts w:cs="Arial"/>
        </w:rPr>
      </w:pPr>
      <w:r>
        <w:rPr>
          <w:rFonts w:cs="Arial"/>
        </w:rPr>
        <w:t>Ronan Gunn</w:t>
      </w:r>
      <w:r w:rsidR="00F01F28">
        <w:rPr>
          <w:rFonts w:cs="Arial"/>
        </w:rPr>
        <w:tab/>
      </w:r>
      <w:r w:rsidR="00B56198">
        <w:rPr>
          <w:rFonts w:cs="Arial"/>
        </w:rPr>
        <w:t xml:space="preserve">Financial Policy Branch </w:t>
      </w:r>
    </w:p>
    <w:p w14:paraId="10CB9A44" w14:textId="645B0432" w:rsidR="0043282A" w:rsidRPr="00921FF1" w:rsidRDefault="00BA1051" w:rsidP="00FC0AB1">
      <w:pPr>
        <w:rPr>
          <w:rFonts w:cs="Arial"/>
        </w:rPr>
      </w:pPr>
      <w:r w:rsidRPr="00921FF1">
        <w:rPr>
          <w:rFonts w:cs="Arial"/>
        </w:rPr>
        <w:tab/>
      </w:r>
      <w:r w:rsidRPr="00921FF1">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54"/>
        <w:gridCol w:w="2463"/>
      </w:tblGrid>
      <w:tr w:rsidR="0043282A" w:rsidRPr="00921FF1" w14:paraId="7679D303" w14:textId="77777777" w:rsidTr="00FE53AF">
        <w:tc>
          <w:tcPr>
            <w:tcW w:w="877" w:type="dxa"/>
          </w:tcPr>
          <w:p w14:paraId="6DE9EB28" w14:textId="77777777" w:rsidR="0043282A" w:rsidRPr="007B1D80" w:rsidRDefault="009D2236" w:rsidP="005D3775">
            <w:pPr>
              <w:jc w:val="center"/>
              <w:rPr>
                <w:rFonts w:eastAsia="Times" w:cs="Arial"/>
                <w:b/>
              </w:rPr>
            </w:pPr>
            <w:r w:rsidRPr="007B1D80">
              <w:rPr>
                <w:rFonts w:eastAsia="Times" w:cs="Arial"/>
                <w:b/>
              </w:rPr>
              <w:t>Item</w:t>
            </w:r>
          </w:p>
        </w:tc>
        <w:tc>
          <w:tcPr>
            <w:tcW w:w="6854" w:type="dxa"/>
          </w:tcPr>
          <w:p w14:paraId="41EF502C" w14:textId="77777777" w:rsidR="0043282A" w:rsidRPr="00921FF1" w:rsidRDefault="009D2236" w:rsidP="005D3775">
            <w:pPr>
              <w:jc w:val="center"/>
              <w:rPr>
                <w:rFonts w:eastAsia="Times" w:cs="Arial"/>
                <w:b/>
              </w:rPr>
            </w:pPr>
            <w:r w:rsidRPr="00921FF1">
              <w:rPr>
                <w:rFonts w:eastAsia="Times" w:cs="Arial"/>
                <w:b/>
              </w:rPr>
              <w:t xml:space="preserve">Description </w:t>
            </w:r>
          </w:p>
        </w:tc>
        <w:tc>
          <w:tcPr>
            <w:tcW w:w="2463" w:type="dxa"/>
          </w:tcPr>
          <w:p w14:paraId="14E37E88" w14:textId="77777777" w:rsidR="0043282A" w:rsidRPr="00921FF1" w:rsidRDefault="0043282A" w:rsidP="005D3775">
            <w:pPr>
              <w:jc w:val="center"/>
              <w:rPr>
                <w:rFonts w:eastAsia="Times" w:cs="Arial"/>
                <w:b/>
              </w:rPr>
            </w:pPr>
            <w:r w:rsidRPr="00921FF1">
              <w:rPr>
                <w:rFonts w:eastAsia="Times" w:cs="Arial"/>
                <w:b/>
              </w:rPr>
              <w:t>Action</w:t>
            </w:r>
            <w:r w:rsidR="009D2236" w:rsidRPr="00921FF1">
              <w:rPr>
                <w:rFonts w:eastAsia="Times" w:cs="Arial"/>
                <w:b/>
              </w:rPr>
              <w:t xml:space="preserve"> Owner</w:t>
            </w:r>
          </w:p>
        </w:tc>
      </w:tr>
      <w:tr w:rsidR="0080215B" w:rsidRPr="00921FF1" w14:paraId="7F8B0C97" w14:textId="77777777" w:rsidTr="00FE53AF">
        <w:tc>
          <w:tcPr>
            <w:tcW w:w="7731" w:type="dxa"/>
            <w:gridSpan w:val="2"/>
          </w:tcPr>
          <w:p w14:paraId="3AA10F5A" w14:textId="77777777" w:rsidR="0080215B" w:rsidRPr="007B1D80" w:rsidRDefault="0080215B" w:rsidP="00820DDC">
            <w:pPr>
              <w:rPr>
                <w:rFonts w:eastAsia="Times" w:cs="Arial"/>
                <w:b/>
              </w:rPr>
            </w:pPr>
            <w:r w:rsidRPr="007B1D80">
              <w:rPr>
                <w:rFonts w:eastAsia="Times" w:cs="Arial"/>
                <w:b/>
              </w:rPr>
              <w:t>Opening</w:t>
            </w:r>
          </w:p>
        </w:tc>
        <w:tc>
          <w:tcPr>
            <w:tcW w:w="2463" w:type="dxa"/>
          </w:tcPr>
          <w:p w14:paraId="4FD6D3E0" w14:textId="77777777" w:rsidR="0080215B" w:rsidRPr="00921FF1" w:rsidRDefault="0080215B" w:rsidP="00FC0AB1">
            <w:pPr>
              <w:rPr>
                <w:rFonts w:eastAsia="Times" w:cs="Arial"/>
                <w:b/>
              </w:rPr>
            </w:pPr>
          </w:p>
        </w:tc>
      </w:tr>
      <w:tr w:rsidR="00241DB2" w:rsidRPr="00921FF1" w14:paraId="3CB99FD2" w14:textId="77777777" w:rsidTr="00FE53AF">
        <w:tc>
          <w:tcPr>
            <w:tcW w:w="877" w:type="dxa"/>
          </w:tcPr>
          <w:p w14:paraId="146F035B" w14:textId="7EA2DD59" w:rsidR="00241DB2" w:rsidRPr="007B1D80" w:rsidRDefault="00FE53AF" w:rsidP="00241DB2">
            <w:pPr>
              <w:rPr>
                <w:rFonts w:eastAsia="Times" w:cs="Arial"/>
                <w:b/>
              </w:rPr>
            </w:pPr>
            <w:r>
              <w:rPr>
                <w:rFonts w:eastAsia="Times" w:cs="Arial"/>
                <w:b/>
              </w:rPr>
              <w:t>1</w:t>
            </w:r>
          </w:p>
        </w:tc>
        <w:tc>
          <w:tcPr>
            <w:tcW w:w="6854" w:type="dxa"/>
          </w:tcPr>
          <w:p w14:paraId="01E06F56" w14:textId="3FA53F51" w:rsidR="00241DB2" w:rsidRPr="00921FF1" w:rsidRDefault="00733D2A" w:rsidP="00A15EE0">
            <w:pPr>
              <w:rPr>
                <w:rFonts w:eastAsia="Times" w:cs="Arial"/>
                <w:b/>
              </w:rPr>
            </w:pPr>
            <w:r>
              <w:rPr>
                <w:rFonts w:eastAsia="Times" w:cs="Arial"/>
                <w:b/>
              </w:rPr>
              <w:t>Chair</w:t>
            </w:r>
            <w:r w:rsidR="00735FD2">
              <w:rPr>
                <w:rFonts w:eastAsia="Times" w:cs="Arial"/>
                <w:b/>
              </w:rPr>
              <w:t xml:space="preserve">s </w:t>
            </w:r>
            <w:r w:rsidR="00A15EE0">
              <w:rPr>
                <w:rFonts w:eastAsia="Times" w:cs="Arial"/>
                <w:b/>
              </w:rPr>
              <w:t>introduction</w:t>
            </w:r>
          </w:p>
        </w:tc>
        <w:tc>
          <w:tcPr>
            <w:tcW w:w="2463" w:type="dxa"/>
          </w:tcPr>
          <w:p w14:paraId="1A1BEF57" w14:textId="77777777" w:rsidR="00241DB2" w:rsidRPr="00921FF1" w:rsidRDefault="00241DB2" w:rsidP="00FC0AB1">
            <w:pPr>
              <w:rPr>
                <w:rFonts w:eastAsia="Times" w:cs="Arial"/>
                <w:b/>
              </w:rPr>
            </w:pPr>
          </w:p>
        </w:tc>
      </w:tr>
      <w:tr w:rsidR="00820DDC" w:rsidRPr="00921FF1" w14:paraId="04CB6773" w14:textId="77777777" w:rsidTr="00FE53AF">
        <w:tc>
          <w:tcPr>
            <w:tcW w:w="877" w:type="dxa"/>
          </w:tcPr>
          <w:p w14:paraId="38350325" w14:textId="77777777" w:rsidR="00820DDC" w:rsidRPr="007B1D80" w:rsidRDefault="00820DDC" w:rsidP="00FC0AB1">
            <w:pPr>
              <w:rPr>
                <w:rFonts w:eastAsia="Times" w:cs="Arial"/>
                <w:b/>
              </w:rPr>
            </w:pPr>
          </w:p>
        </w:tc>
        <w:tc>
          <w:tcPr>
            <w:tcW w:w="6854" w:type="dxa"/>
          </w:tcPr>
          <w:p w14:paraId="3D2D85A3" w14:textId="0D6AFFD6" w:rsidR="00054998" w:rsidRPr="00921FF1" w:rsidRDefault="00054998" w:rsidP="00DF54D4">
            <w:pPr>
              <w:jc w:val="both"/>
              <w:rPr>
                <w:rFonts w:eastAsia="Times" w:cs="Arial"/>
              </w:rPr>
            </w:pPr>
            <w:r>
              <w:rPr>
                <w:rFonts w:eastAsia="Times" w:cs="Arial"/>
              </w:rPr>
              <w:t>Chair</w:t>
            </w:r>
            <w:r w:rsidR="00820DDC" w:rsidRPr="00921FF1">
              <w:rPr>
                <w:rFonts w:eastAsia="Times" w:cs="Arial"/>
              </w:rPr>
              <w:t xml:space="preserve"> welcomed </w:t>
            </w:r>
            <w:r w:rsidR="00921FF1">
              <w:rPr>
                <w:rFonts w:eastAsia="Times" w:cs="Arial"/>
              </w:rPr>
              <w:t>everyone to t</w:t>
            </w:r>
            <w:r>
              <w:rPr>
                <w:rFonts w:eastAsia="Times" w:cs="Arial"/>
              </w:rPr>
              <w:t xml:space="preserve">he </w:t>
            </w:r>
            <w:r w:rsidR="00921FF1">
              <w:rPr>
                <w:rFonts w:eastAsia="Times" w:cs="Arial"/>
              </w:rPr>
              <w:t>meeting</w:t>
            </w:r>
            <w:r w:rsidR="000133C6">
              <w:rPr>
                <w:rFonts w:eastAsia="Times" w:cs="Arial"/>
              </w:rPr>
              <w:t xml:space="preserve">. </w:t>
            </w:r>
          </w:p>
        </w:tc>
        <w:tc>
          <w:tcPr>
            <w:tcW w:w="2463" w:type="dxa"/>
          </w:tcPr>
          <w:p w14:paraId="166C8DCB" w14:textId="77777777" w:rsidR="0064309F" w:rsidRDefault="0064309F" w:rsidP="00031017">
            <w:pPr>
              <w:rPr>
                <w:rFonts w:eastAsia="Times" w:cs="Arial"/>
              </w:rPr>
            </w:pPr>
          </w:p>
          <w:p w14:paraId="5BBD35F2" w14:textId="77777777" w:rsidR="00820DDC" w:rsidRPr="00CE0ACB" w:rsidRDefault="00820DDC" w:rsidP="00031017">
            <w:pPr>
              <w:rPr>
                <w:rFonts w:eastAsia="Times" w:cs="Arial"/>
                <w:b/>
              </w:rPr>
            </w:pPr>
          </w:p>
        </w:tc>
      </w:tr>
      <w:tr w:rsidR="00A15EE0" w:rsidRPr="00921FF1" w14:paraId="3C8C96A1" w14:textId="77777777" w:rsidTr="00FE53AF">
        <w:tc>
          <w:tcPr>
            <w:tcW w:w="877" w:type="dxa"/>
          </w:tcPr>
          <w:p w14:paraId="5982994B" w14:textId="568A4D3F" w:rsidR="00A15EE0" w:rsidRPr="007B1D80" w:rsidRDefault="00FE53AF" w:rsidP="00FC0AB1">
            <w:pPr>
              <w:rPr>
                <w:rFonts w:eastAsia="Times" w:cs="Arial"/>
                <w:b/>
              </w:rPr>
            </w:pPr>
            <w:r>
              <w:rPr>
                <w:rFonts w:eastAsia="Times" w:cs="Arial"/>
                <w:b/>
              </w:rPr>
              <w:t>2</w:t>
            </w:r>
          </w:p>
        </w:tc>
        <w:tc>
          <w:tcPr>
            <w:tcW w:w="6854" w:type="dxa"/>
          </w:tcPr>
          <w:p w14:paraId="023FC052" w14:textId="33624496" w:rsidR="00A15EE0" w:rsidRPr="00735FD2" w:rsidRDefault="00A15EE0" w:rsidP="00FF2BE6">
            <w:pPr>
              <w:jc w:val="both"/>
              <w:rPr>
                <w:rFonts w:eastAsia="Times" w:cs="Arial"/>
                <w:b/>
              </w:rPr>
            </w:pPr>
            <w:r>
              <w:rPr>
                <w:rFonts w:eastAsia="Times" w:cs="Arial"/>
                <w:b/>
              </w:rPr>
              <w:t>Apologies</w:t>
            </w:r>
          </w:p>
        </w:tc>
        <w:tc>
          <w:tcPr>
            <w:tcW w:w="2463" w:type="dxa"/>
          </w:tcPr>
          <w:p w14:paraId="62C1B6BF" w14:textId="77777777" w:rsidR="00A15EE0" w:rsidRPr="00921FF1" w:rsidRDefault="00A15EE0" w:rsidP="00031017">
            <w:pPr>
              <w:rPr>
                <w:rFonts w:eastAsia="Times" w:cs="Arial"/>
              </w:rPr>
            </w:pPr>
          </w:p>
        </w:tc>
      </w:tr>
      <w:tr w:rsidR="00A15EE0" w:rsidRPr="00921FF1" w14:paraId="3C58E329" w14:textId="77777777" w:rsidTr="00FE53AF">
        <w:tc>
          <w:tcPr>
            <w:tcW w:w="877" w:type="dxa"/>
          </w:tcPr>
          <w:p w14:paraId="05E22CA8" w14:textId="77777777" w:rsidR="00A15EE0" w:rsidRPr="007B1D80" w:rsidRDefault="00A15EE0" w:rsidP="00FC0AB1">
            <w:pPr>
              <w:rPr>
                <w:rFonts w:eastAsia="Times" w:cs="Arial"/>
                <w:b/>
              </w:rPr>
            </w:pPr>
          </w:p>
        </w:tc>
        <w:tc>
          <w:tcPr>
            <w:tcW w:w="6854" w:type="dxa"/>
          </w:tcPr>
          <w:p w14:paraId="50D7D2C4" w14:textId="0A88BFA1" w:rsidR="00A15EE0" w:rsidRPr="00735FD2" w:rsidRDefault="00A15EE0" w:rsidP="00DF54D4">
            <w:pPr>
              <w:jc w:val="both"/>
              <w:rPr>
                <w:rFonts w:eastAsia="Times" w:cs="Arial"/>
                <w:b/>
              </w:rPr>
            </w:pPr>
            <w:r>
              <w:rPr>
                <w:rFonts w:eastAsia="Times" w:cs="Arial"/>
              </w:rPr>
              <w:t xml:space="preserve">Chair noted apologies from </w:t>
            </w:r>
            <w:r w:rsidR="00DF54D4">
              <w:rPr>
                <w:rFonts w:eastAsia="Times" w:cs="Arial"/>
              </w:rPr>
              <w:t>Tracey Teague</w:t>
            </w:r>
            <w:r w:rsidR="000133C6">
              <w:rPr>
                <w:rFonts w:eastAsia="Times" w:cs="Arial"/>
              </w:rPr>
              <w:t xml:space="preserve">. </w:t>
            </w:r>
          </w:p>
        </w:tc>
        <w:tc>
          <w:tcPr>
            <w:tcW w:w="2463" w:type="dxa"/>
          </w:tcPr>
          <w:p w14:paraId="02BD89B7" w14:textId="77777777" w:rsidR="00A15EE0" w:rsidRPr="00921FF1" w:rsidRDefault="00A15EE0" w:rsidP="00031017">
            <w:pPr>
              <w:rPr>
                <w:rFonts w:eastAsia="Times" w:cs="Arial"/>
              </w:rPr>
            </w:pPr>
          </w:p>
        </w:tc>
      </w:tr>
      <w:tr w:rsidR="00735FD2" w:rsidRPr="00921FF1" w14:paraId="6E55FA2A" w14:textId="77777777" w:rsidTr="00FE53AF">
        <w:tc>
          <w:tcPr>
            <w:tcW w:w="877" w:type="dxa"/>
          </w:tcPr>
          <w:p w14:paraId="2440F29E" w14:textId="167C177D" w:rsidR="00735FD2" w:rsidRPr="007B1D80" w:rsidRDefault="00DF54D4" w:rsidP="00A15EE0">
            <w:pPr>
              <w:rPr>
                <w:rFonts w:eastAsia="Times" w:cs="Arial"/>
                <w:b/>
              </w:rPr>
            </w:pPr>
            <w:r>
              <w:rPr>
                <w:rFonts w:eastAsia="Times" w:cs="Arial"/>
                <w:b/>
              </w:rPr>
              <w:t>3</w:t>
            </w:r>
          </w:p>
        </w:tc>
        <w:tc>
          <w:tcPr>
            <w:tcW w:w="6854" w:type="dxa"/>
          </w:tcPr>
          <w:p w14:paraId="6AA86133" w14:textId="1C07BE8A" w:rsidR="00735FD2" w:rsidRPr="00921FF1" w:rsidRDefault="00735FD2" w:rsidP="00735FD2">
            <w:pPr>
              <w:jc w:val="both"/>
              <w:rPr>
                <w:rFonts w:eastAsia="Times" w:cs="Arial"/>
              </w:rPr>
            </w:pPr>
            <w:r w:rsidRPr="00735FD2">
              <w:rPr>
                <w:rFonts w:eastAsia="Times" w:cs="Arial"/>
                <w:b/>
              </w:rPr>
              <w:t>Minutes</w:t>
            </w:r>
            <w:r w:rsidR="00A15EE0">
              <w:rPr>
                <w:rFonts w:eastAsia="Times" w:cs="Arial"/>
                <w:b/>
              </w:rPr>
              <w:t xml:space="preserve"> and Action Points of previous meeting</w:t>
            </w:r>
          </w:p>
        </w:tc>
        <w:tc>
          <w:tcPr>
            <w:tcW w:w="2463" w:type="dxa"/>
          </w:tcPr>
          <w:p w14:paraId="58A5DE82" w14:textId="77777777" w:rsidR="00735FD2" w:rsidRPr="00921FF1" w:rsidRDefault="00735FD2" w:rsidP="00031017">
            <w:pPr>
              <w:rPr>
                <w:rFonts w:eastAsia="Times" w:cs="Arial"/>
              </w:rPr>
            </w:pPr>
          </w:p>
        </w:tc>
      </w:tr>
      <w:tr w:rsidR="00735FD2" w:rsidRPr="00921FF1" w14:paraId="2DFAA709" w14:textId="77777777" w:rsidTr="00FE53AF">
        <w:tc>
          <w:tcPr>
            <w:tcW w:w="877" w:type="dxa"/>
          </w:tcPr>
          <w:p w14:paraId="736B0E66" w14:textId="77777777" w:rsidR="00735FD2" w:rsidRPr="007B1D80" w:rsidRDefault="00735FD2" w:rsidP="00FC0AB1">
            <w:pPr>
              <w:rPr>
                <w:rFonts w:eastAsia="Times" w:cs="Arial"/>
                <w:b/>
              </w:rPr>
            </w:pPr>
          </w:p>
        </w:tc>
        <w:tc>
          <w:tcPr>
            <w:tcW w:w="6854" w:type="dxa"/>
          </w:tcPr>
          <w:p w14:paraId="3D756851" w14:textId="77F96941" w:rsidR="008611D4" w:rsidRPr="00921FF1" w:rsidRDefault="00DB056D" w:rsidP="00844E2A">
            <w:pPr>
              <w:jc w:val="both"/>
              <w:rPr>
                <w:rFonts w:eastAsia="Times" w:cs="Arial"/>
              </w:rPr>
            </w:pPr>
            <w:r>
              <w:rPr>
                <w:rFonts w:eastAsia="Times" w:cs="Arial"/>
              </w:rPr>
              <w:t>Minutes were formally signed as accurate by the Chair.</w:t>
            </w:r>
          </w:p>
        </w:tc>
        <w:tc>
          <w:tcPr>
            <w:tcW w:w="2463" w:type="dxa"/>
          </w:tcPr>
          <w:p w14:paraId="5C2FB9E0" w14:textId="3647DB19" w:rsidR="000A5ABF" w:rsidRPr="00960E91" w:rsidRDefault="000A5ABF" w:rsidP="00031017">
            <w:pPr>
              <w:rPr>
                <w:rFonts w:eastAsia="Times" w:cs="Arial"/>
                <w:b/>
              </w:rPr>
            </w:pPr>
          </w:p>
        </w:tc>
      </w:tr>
      <w:tr w:rsidR="0080215B" w:rsidRPr="00921FF1" w14:paraId="0FE50DD9" w14:textId="77777777" w:rsidTr="00FE53AF">
        <w:tc>
          <w:tcPr>
            <w:tcW w:w="877" w:type="dxa"/>
          </w:tcPr>
          <w:p w14:paraId="5677529A" w14:textId="4758FC0D" w:rsidR="0080215B" w:rsidRPr="007B1D80" w:rsidRDefault="00FE53AF" w:rsidP="00A15EE0">
            <w:pPr>
              <w:rPr>
                <w:rFonts w:eastAsia="Times" w:cs="Arial"/>
                <w:b/>
              </w:rPr>
            </w:pPr>
            <w:r>
              <w:rPr>
                <w:rFonts w:eastAsia="Times" w:cs="Arial"/>
                <w:b/>
              </w:rPr>
              <w:t>5</w:t>
            </w:r>
          </w:p>
        </w:tc>
        <w:tc>
          <w:tcPr>
            <w:tcW w:w="6854" w:type="dxa"/>
          </w:tcPr>
          <w:p w14:paraId="3AA8B024" w14:textId="04686016" w:rsidR="0080215B" w:rsidRPr="0080215B" w:rsidRDefault="00FE53AF" w:rsidP="00407808">
            <w:pPr>
              <w:jc w:val="both"/>
              <w:rPr>
                <w:rFonts w:eastAsia="Times" w:cs="Arial"/>
                <w:b/>
              </w:rPr>
            </w:pPr>
            <w:r>
              <w:rPr>
                <w:rFonts w:eastAsia="Times" w:cs="Arial"/>
                <w:b/>
              </w:rPr>
              <w:t>Risk 1</w:t>
            </w:r>
          </w:p>
        </w:tc>
        <w:tc>
          <w:tcPr>
            <w:tcW w:w="2463" w:type="dxa"/>
          </w:tcPr>
          <w:p w14:paraId="747A38E1" w14:textId="77777777" w:rsidR="0080215B" w:rsidRPr="00921FF1" w:rsidRDefault="0080215B" w:rsidP="00820DDC">
            <w:pPr>
              <w:rPr>
                <w:rFonts w:eastAsia="Times" w:cs="Arial"/>
              </w:rPr>
            </w:pPr>
          </w:p>
        </w:tc>
      </w:tr>
      <w:tr w:rsidR="00820DDC" w:rsidRPr="00921FF1" w14:paraId="68402648" w14:textId="77777777" w:rsidTr="00FE53AF">
        <w:tc>
          <w:tcPr>
            <w:tcW w:w="877" w:type="dxa"/>
          </w:tcPr>
          <w:p w14:paraId="6150E5EB" w14:textId="77777777" w:rsidR="00820DDC" w:rsidRPr="007B1D80" w:rsidRDefault="00820DDC" w:rsidP="00820DDC">
            <w:pPr>
              <w:rPr>
                <w:rFonts w:eastAsia="Times" w:cs="Arial"/>
                <w:b/>
              </w:rPr>
            </w:pPr>
          </w:p>
        </w:tc>
        <w:tc>
          <w:tcPr>
            <w:tcW w:w="6854" w:type="dxa"/>
          </w:tcPr>
          <w:p w14:paraId="6EEF2DD4" w14:textId="624987C7" w:rsidR="00844E2A" w:rsidRPr="00921FF1" w:rsidRDefault="008611D4" w:rsidP="00B17E35">
            <w:pPr>
              <w:jc w:val="both"/>
              <w:rPr>
                <w:rFonts w:eastAsia="Times" w:cs="Arial"/>
              </w:rPr>
            </w:pPr>
            <w:r>
              <w:rPr>
                <w:rFonts w:eastAsia="Times" w:cs="Arial"/>
              </w:rPr>
              <w:t xml:space="preserve">David Reid advised that </w:t>
            </w:r>
            <w:r w:rsidR="00DF54D4">
              <w:rPr>
                <w:rFonts w:eastAsia="Times" w:cs="Arial"/>
              </w:rPr>
              <w:t>th</w:t>
            </w:r>
            <w:r w:rsidR="00B17E35">
              <w:rPr>
                <w:rFonts w:eastAsia="Times" w:cs="Arial"/>
              </w:rPr>
              <w:t xml:space="preserve">e short term Finance </w:t>
            </w:r>
            <w:r w:rsidR="00DF54D4">
              <w:rPr>
                <w:rFonts w:eastAsia="Times" w:cs="Arial"/>
              </w:rPr>
              <w:t xml:space="preserve">risk remains amber due to provisional outturn. The outlook for </w:t>
            </w:r>
            <w:r w:rsidR="00B17E35">
              <w:rPr>
                <w:rFonts w:eastAsia="Times" w:cs="Arial"/>
              </w:rPr>
              <w:t xml:space="preserve">the long term risk into </w:t>
            </w:r>
            <w:r w:rsidR="00DF54D4">
              <w:rPr>
                <w:rFonts w:eastAsia="Times" w:cs="Arial"/>
              </w:rPr>
              <w:t>19/20 is a concern due to the large shortfall identified which is mainly in respect of Brexit resource. They are trying to address this with DoF</w:t>
            </w:r>
            <w:r w:rsidR="00B17E35">
              <w:rPr>
                <w:rFonts w:eastAsia="Times" w:cs="Arial"/>
              </w:rPr>
              <w:t xml:space="preserve"> and it should remain red due to the current uncertainty</w:t>
            </w:r>
            <w:r w:rsidR="00DF54D4">
              <w:rPr>
                <w:rFonts w:eastAsia="Times" w:cs="Arial"/>
              </w:rPr>
              <w:t xml:space="preserve">. </w:t>
            </w:r>
          </w:p>
        </w:tc>
        <w:tc>
          <w:tcPr>
            <w:tcW w:w="2463" w:type="dxa"/>
          </w:tcPr>
          <w:p w14:paraId="7078E042" w14:textId="77777777" w:rsidR="0039492E" w:rsidRPr="00921FF1" w:rsidRDefault="0039492E" w:rsidP="00FE53AF">
            <w:pPr>
              <w:rPr>
                <w:rFonts w:eastAsia="Times" w:cs="Arial"/>
                <w:b/>
              </w:rPr>
            </w:pPr>
          </w:p>
        </w:tc>
      </w:tr>
    </w:tbl>
    <w:p w14:paraId="4A30DFB5" w14:textId="77777777" w:rsidR="00A85833" w:rsidRDefault="00A858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54"/>
        <w:gridCol w:w="2463"/>
      </w:tblGrid>
      <w:tr w:rsidR="00F64942" w:rsidRPr="00921FF1" w14:paraId="304ADBAE" w14:textId="77777777" w:rsidTr="00FE53AF">
        <w:tc>
          <w:tcPr>
            <w:tcW w:w="877" w:type="dxa"/>
          </w:tcPr>
          <w:p w14:paraId="00097DFD" w14:textId="4D2CC93C" w:rsidR="00F64942" w:rsidRPr="007B1D80" w:rsidRDefault="00F64942" w:rsidP="00820DDC">
            <w:pPr>
              <w:rPr>
                <w:rFonts w:eastAsia="Times" w:cs="Arial"/>
                <w:b/>
              </w:rPr>
            </w:pPr>
          </w:p>
        </w:tc>
        <w:tc>
          <w:tcPr>
            <w:tcW w:w="6854" w:type="dxa"/>
          </w:tcPr>
          <w:p w14:paraId="0733009F" w14:textId="34E88F29" w:rsidR="00F64942" w:rsidRPr="00921FF1" w:rsidRDefault="00FE53AF" w:rsidP="00820DDC">
            <w:pPr>
              <w:jc w:val="both"/>
              <w:rPr>
                <w:rFonts w:eastAsia="Times" w:cs="Arial"/>
                <w:b/>
              </w:rPr>
            </w:pPr>
            <w:r>
              <w:rPr>
                <w:rFonts w:eastAsia="Times" w:cs="Arial"/>
                <w:b/>
              </w:rPr>
              <w:t>Risk 2</w:t>
            </w:r>
          </w:p>
        </w:tc>
        <w:tc>
          <w:tcPr>
            <w:tcW w:w="2463" w:type="dxa"/>
          </w:tcPr>
          <w:p w14:paraId="4AAB7F99" w14:textId="77777777" w:rsidR="00F64942" w:rsidRPr="00921FF1" w:rsidRDefault="00F64942" w:rsidP="00820DDC">
            <w:pPr>
              <w:rPr>
                <w:rFonts w:eastAsia="Times" w:cs="Arial"/>
              </w:rPr>
            </w:pPr>
          </w:p>
        </w:tc>
      </w:tr>
      <w:tr w:rsidR="00B709B0" w:rsidRPr="00921FF1" w14:paraId="5C5E8AF8" w14:textId="77777777" w:rsidTr="00FE53AF">
        <w:tc>
          <w:tcPr>
            <w:tcW w:w="877" w:type="dxa"/>
          </w:tcPr>
          <w:p w14:paraId="42DA7455" w14:textId="2D95C600" w:rsidR="00B709B0" w:rsidRPr="007B1D80" w:rsidRDefault="00B709B0" w:rsidP="00820DDC">
            <w:pPr>
              <w:rPr>
                <w:rFonts w:eastAsia="Times" w:cs="Arial"/>
                <w:b/>
              </w:rPr>
            </w:pPr>
          </w:p>
        </w:tc>
        <w:tc>
          <w:tcPr>
            <w:tcW w:w="6854" w:type="dxa"/>
          </w:tcPr>
          <w:p w14:paraId="31CD60CC" w14:textId="14F0F8D7" w:rsidR="00594622" w:rsidRDefault="00B17E35" w:rsidP="00B17E35">
            <w:pPr>
              <w:jc w:val="both"/>
              <w:rPr>
                <w:rFonts w:eastAsia="Times" w:cs="Arial"/>
                <w:bCs/>
              </w:rPr>
            </w:pPr>
            <w:r>
              <w:rPr>
                <w:rFonts w:eastAsia="Times" w:cs="Arial"/>
              </w:rPr>
              <w:t>Sean McGrade said a number of efforts had been made to fill resources and the Department is currently carrying 328 vacancies.</w:t>
            </w:r>
          </w:p>
          <w:p w14:paraId="6A3AE41C" w14:textId="77777777" w:rsidR="00594622" w:rsidRDefault="00594622" w:rsidP="00A85833">
            <w:pPr>
              <w:jc w:val="both"/>
              <w:rPr>
                <w:rFonts w:eastAsia="Times" w:cs="Arial"/>
                <w:bCs/>
              </w:rPr>
            </w:pPr>
          </w:p>
          <w:p w14:paraId="51ADBDB7" w14:textId="2CC25B06" w:rsidR="00B17E35" w:rsidRPr="008611D4" w:rsidRDefault="00844E2A" w:rsidP="00AA40BC">
            <w:pPr>
              <w:jc w:val="both"/>
              <w:rPr>
                <w:rFonts w:eastAsia="Times" w:cs="Arial"/>
              </w:rPr>
            </w:pPr>
            <w:r>
              <w:rPr>
                <w:rFonts w:eastAsia="Times" w:cs="Arial"/>
              </w:rPr>
              <w:t>Risk ratings for both short term and long term risks remain amber and red respectively.</w:t>
            </w:r>
            <w:r w:rsidR="00BE01F7">
              <w:rPr>
                <w:rFonts w:eastAsia="Times" w:cs="Arial"/>
              </w:rPr>
              <w:t xml:space="preserve"> </w:t>
            </w:r>
          </w:p>
        </w:tc>
        <w:tc>
          <w:tcPr>
            <w:tcW w:w="2463" w:type="dxa"/>
          </w:tcPr>
          <w:p w14:paraId="1A18876F" w14:textId="77777777" w:rsidR="00B709B0" w:rsidRDefault="00B709B0" w:rsidP="00820DDC">
            <w:pPr>
              <w:rPr>
                <w:rFonts w:eastAsia="Times" w:cs="Arial"/>
              </w:rPr>
            </w:pPr>
          </w:p>
          <w:p w14:paraId="3A105DE1" w14:textId="77777777" w:rsidR="00594622" w:rsidRDefault="00594622" w:rsidP="00820DDC">
            <w:pPr>
              <w:rPr>
                <w:rFonts w:eastAsia="Times" w:cs="Arial"/>
              </w:rPr>
            </w:pPr>
          </w:p>
          <w:p w14:paraId="20EE4F31" w14:textId="77777777" w:rsidR="00594622" w:rsidRDefault="00594622" w:rsidP="00820DDC">
            <w:pPr>
              <w:rPr>
                <w:rFonts w:eastAsia="Times" w:cs="Arial"/>
              </w:rPr>
            </w:pPr>
          </w:p>
          <w:p w14:paraId="7160C518" w14:textId="77777777" w:rsidR="00594622" w:rsidRDefault="00594622" w:rsidP="00820DDC">
            <w:pPr>
              <w:rPr>
                <w:rFonts w:eastAsia="Times" w:cs="Arial"/>
              </w:rPr>
            </w:pPr>
          </w:p>
          <w:p w14:paraId="28760FB3" w14:textId="77777777" w:rsidR="00594622" w:rsidRDefault="00594622" w:rsidP="00820DDC">
            <w:pPr>
              <w:rPr>
                <w:rFonts w:eastAsia="Times" w:cs="Arial"/>
              </w:rPr>
            </w:pPr>
          </w:p>
          <w:p w14:paraId="1153F159" w14:textId="7B871257" w:rsidR="00594622" w:rsidRPr="00594622" w:rsidRDefault="00594622" w:rsidP="00820DDC">
            <w:pPr>
              <w:rPr>
                <w:rFonts w:eastAsia="Times" w:cs="Arial"/>
                <w:b/>
              </w:rPr>
            </w:pPr>
          </w:p>
        </w:tc>
      </w:tr>
      <w:tr w:rsidR="00F64942" w:rsidRPr="00921FF1" w14:paraId="0F4BE54C" w14:textId="77777777" w:rsidTr="00FE53AF">
        <w:tc>
          <w:tcPr>
            <w:tcW w:w="877" w:type="dxa"/>
          </w:tcPr>
          <w:p w14:paraId="3206294E" w14:textId="77777777" w:rsidR="00F64942" w:rsidRPr="007B1D80" w:rsidRDefault="00F64942" w:rsidP="00820DDC">
            <w:pPr>
              <w:rPr>
                <w:rFonts w:eastAsia="Times" w:cs="Arial"/>
                <w:b/>
              </w:rPr>
            </w:pPr>
          </w:p>
        </w:tc>
        <w:tc>
          <w:tcPr>
            <w:tcW w:w="6854" w:type="dxa"/>
          </w:tcPr>
          <w:p w14:paraId="4E010B2C" w14:textId="65D9B255" w:rsidR="007D0DF3" w:rsidRPr="00FE53AF" w:rsidRDefault="00FE53AF" w:rsidP="00FE53AF">
            <w:pPr>
              <w:autoSpaceDE w:val="0"/>
              <w:autoSpaceDN w:val="0"/>
              <w:adjustRightInd w:val="0"/>
              <w:contextualSpacing/>
              <w:jc w:val="both"/>
              <w:rPr>
                <w:rFonts w:eastAsia="Times" w:cs="Arial"/>
                <w:b/>
              </w:rPr>
            </w:pPr>
            <w:r w:rsidRPr="00FE53AF">
              <w:rPr>
                <w:rFonts w:eastAsia="Times" w:cs="Arial"/>
                <w:b/>
              </w:rPr>
              <w:t>Risk 3</w:t>
            </w:r>
          </w:p>
        </w:tc>
        <w:tc>
          <w:tcPr>
            <w:tcW w:w="2463" w:type="dxa"/>
          </w:tcPr>
          <w:p w14:paraId="1916807C" w14:textId="0CA23E6B" w:rsidR="001D6053" w:rsidRPr="007B1D80" w:rsidRDefault="001D6053" w:rsidP="00C25D66">
            <w:pPr>
              <w:rPr>
                <w:rFonts w:eastAsia="Times" w:cs="Arial"/>
                <w:b/>
              </w:rPr>
            </w:pPr>
          </w:p>
        </w:tc>
      </w:tr>
      <w:tr w:rsidR="00C25D66" w:rsidRPr="00F25D8F" w14:paraId="4EDFC3F5" w14:textId="77777777" w:rsidTr="00FE53AF">
        <w:tc>
          <w:tcPr>
            <w:tcW w:w="877" w:type="dxa"/>
          </w:tcPr>
          <w:p w14:paraId="3A0ABA4A" w14:textId="0F3530C2" w:rsidR="00C25D66" w:rsidRPr="007B1D80" w:rsidRDefault="00C25D66" w:rsidP="00820DDC">
            <w:pPr>
              <w:rPr>
                <w:rFonts w:eastAsia="Times" w:cs="Arial"/>
                <w:b/>
              </w:rPr>
            </w:pPr>
          </w:p>
        </w:tc>
        <w:tc>
          <w:tcPr>
            <w:tcW w:w="6854" w:type="dxa"/>
          </w:tcPr>
          <w:p w14:paraId="3EA7EC66" w14:textId="21E9FBC4" w:rsidR="004E4B24" w:rsidRDefault="00E32759" w:rsidP="00A85833">
            <w:pPr>
              <w:jc w:val="both"/>
              <w:rPr>
                <w:rFonts w:eastAsia="Times" w:cs="Arial"/>
              </w:rPr>
            </w:pPr>
            <w:r w:rsidRPr="00BC0A9C">
              <w:rPr>
                <w:rFonts w:eastAsia="Times" w:cs="Arial"/>
              </w:rPr>
              <w:t xml:space="preserve">Paul McGurnaghan reported that </w:t>
            </w:r>
            <w:r w:rsidR="004E4B24">
              <w:rPr>
                <w:rFonts w:eastAsia="Times" w:cs="Arial"/>
              </w:rPr>
              <w:t xml:space="preserve">they </w:t>
            </w:r>
            <w:r w:rsidR="00BE01F7">
              <w:rPr>
                <w:rFonts w:eastAsia="Times" w:cs="Arial"/>
              </w:rPr>
              <w:t>were well underway for ISO 27001 compliance</w:t>
            </w:r>
            <w:r w:rsidR="004E4B24">
              <w:rPr>
                <w:rFonts w:eastAsia="Times" w:cs="Arial"/>
              </w:rPr>
              <w:t>.</w:t>
            </w:r>
          </w:p>
          <w:p w14:paraId="286C45F4" w14:textId="77777777" w:rsidR="00BE01F7" w:rsidRDefault="00BE01F7" w:rsidP="00A85833">
            <w:pPr>
              <w:jc w:val="both"/>
              <w:rPr>
                <w:rFonts w:eastAsia="Times" w:cs="Arial"/>
              </w:rPr>
            </w:pPr>
          </w:p>
          <w:p w14:paraId="5CC45A83" w14:textId="602D1904" w:rsidR="00BE01F7" w:rsidRDefault="00BE01F7" w:rsidP="00A85833">
            <w:pPr>
              <w:jc w:val="both"/>
              <w:rPr>
                <w:rFonts w:eastAsia="Times" w:cs="Arial"/>
              </w:rPr>
            </w:pPr>
            <w:r>
              <w:rPr>
                <w:rFonts w:eastAsia="Times" w:cs="Arial"/>
              </w:rPr>
              <w:t>In respect of GDPR training it is going well but they are having problems getting data from CAL to substantiate the 95% compliance target.</w:t>
            </w:r>
          </w:p>
          <w:p w14:paraId="3D258E49" w14:textId="77777777" w:rsidR="00BE01F7" w:rsidRDefault="00BE01F7" w:rsidP="00A85833">
            <w:pPr>
              <w:jc w:val="both"/>
              <w:rPr>
                <w:rFonts w:eastAsia="Times" w:cs="Arial"/>
              </w:rPr>
            </w:pPr>
          </w:p>
          <w:p w14:paraId="64D06C92" w14:textId="01406B1A" w:rsidR="00BE01F7" w:rsidRDefault="00BE01F7" w:rsidP="00A85833">
            <w:pPr>
              <w:jc w:val="both"/>
              <w:rPr>
                <w:rFonts w:eastAsia="Times" w:cs="Arial"/>
              </w:rPr>
            </w:pPr>
            <w:r>
              <w:rPr>
                <w:rFonts w:eastAsia="Times" w:cs="Arial"/>
              </w:rPr>
              <w:t xml:space="preserve">On long term </w:t>
            </w:r>
            <w:r w:rsidR="00AA40BC">
              <w:rPr>
                <w:rFonts w:eastAsia="Times" w:cs="Arial"/>
              </w:rPr>
              <w:t>contracts</w:t>
            </w:r>
            <w:r>
              <w:rPr>
                <w:rFonts w:eastAsia="Times" w:cs="Arial"/>
              </w:rPr>
              <w:t xml:space="preserve"> for </w:t>
            </w:r>
            <w:r w:rsidR="00AA40BC">
              <w:rPr>
                <w:rFonts w:eastAsia="Times" w:cs="Arial"/>
              </w:rPr>
              <w:t>business intelligence and data analytics the tenders have just closed and they hope to award the contracts in May.</w:t>
            </w:r>
          </w:p>
          <w:p w14:paraId="1F596B30" w14:textId="77777777" w:rsidR="00AA40BC" w:rsidRDefault="00AA40BC" w:rsidP="00A85833">
            <w:pPr>
              <w:jc w:val="both"/>
              <w:rPr>
                <w:rFonts w:eastAsia="Times" w:cs="Arial"/>
              </w:rPr>
            </w:pPr>
          </w:p>
          <w:p w14:paraId="4471C065" w14:textId="6FA0C9DD" w:rsidR="00AA40BC" w:rsidRDefault="00AA40BC" w:rsidP="00A85833">
            <w:pPr>
              <w:jc w:val="both"/>
              <w:rPr>
                <w:rFonts w:eastAsia="Times" w:cs="Arial"/>
              </w:rPr>
            </w:pPr>
            <w:r>
              <w:rPr>
                <w:rFonts w:eastAsia="Times" w:cs="Arial"/>
              </w:rPr>
              <w:t>On cyber security Paul advised there is now more scrutiny around it and that he is going to present a paper to DB.</w:t>
            </w:r>
          </w:p>
          <w:p w14:paraId="489984E5" w14:textId="19886DD3" w:rsidR="002027D9" w:rsidRPr="00BC0A9C" w:rsidRDefault="00BE01F7" w:rsidP="00A85833">
            <w:pPr>
              <w:spacing w:before="100" w:beforeAutospacing="1" w:after="100" w:afterAutospacing="1"/>
              <w:jc w:val="both"/>
              <w:rPr>
                <w:rFonts w:eastAsia="Times" w:cs="Arial"/>
              </w:rPr>
            </w:pPr>
            <w:r>
              <w:rPr>
                <w:rFonts w:eastAsia="Times" w:cs="Arial"/>
              </w:rPr>
              <w:t xml:space="preserve">Risk rating should remain red as we are responding to attacks rather than preventing. </w:t>
            </w:r>
          </w:p>
        </w:tc>
        <w:tc>
          <w:tcPr>
            <w:tcW w:w="2463" w:type="dxa"/>
          </w:tcPr>
          <w:p w14:paraId="448C2121" w14:textId="77777777" w:rsidR="00C25D66" w:rsidRPr="00F25D8F" w:rsidRDefault="00C25D66" w:rsidP="00820DDC">
            <w:pPr>
              <w:rPr>
                <w:rFonts w:eastAsia="Times" w:cs="Arial"/>
              </w:rPr>
            </w:pPr>
          </w:p>
        </w:tc>
      </w:tr>
      <w:tr w:rsidR="00C25D66" w:rsidRPr="00F25D8F" w14:paraId="2EF97044" w14:textId="77777777" w:rsidTr="00FE53AF">
        <w:tc>
          <w:tcPr>
            <w:tcW w:w="877" w:type="dxa"/>
          </w:tcPr>
          <w:p w14:paraId="2C287439" w14:textId="60E16EBF" w:rsidR="00C25D66" w:rsidRPr="007B1D80" w:rsidRDefault="00C25D66" w:rsidP="00820DDC">
            <w:pPr>
              <w:rPr>
                <w:rFonts w:eastAsia="Times" w:cs="Arial"/>
                <w:b/>
              </w:rPr>
            </w:pPr>
          </w:p>
        </w:tc>
        <w:tc>
          <w:tcPr>
            <w:tcW w:w="6854" w:type="dxa"/>
          </w:tcPr>
          <w:p w14:paraId="26FF84CD" w14:textId="790CD9DC" w:rsidR="001D6053" w:rsidRPr="00F25D8F" w:rsidRDefault="00FE53AF" w:rsidP="00260729">
            <w:pPr>
              <w:jc w:val="both"/>
              <w:rPr>
                <w:rFonts w:eastAsia="Times" w:cs="Arial"/>
                <w:b/>
              </w:rPr>
            </w:pPr>
            <w:r>
              <w:rPr>
                <w:rFonts w:eastAsia="Times" w:cs="Arial"/>
                <w:b/>
              </w:rPr>
              <w:t>Risk 4</w:t>
            </w:r>
          </w:p>
        </w:tc>
        <w:tc>
          <w:tcPr>
            <w:tcW w:w="2463" w:type="dxa"/>
          </w:tcPr>
          <w:p w14:paraId="33967B00" w14:textId="41D47910" w:rsidR="007B1D80" w:rsidRPr="00F25D8F" w:rsidRDefault="007B1D80" w:rsidP="00820DDC">
            <w:pPr>
              <w:rPr>
                <w:rFonts w:eastAsia="Times" w:cs="Arial"/>
              </w:rPr>
            </w:pPr>
          </w:p>
        </w:tc>
      </w:tr>
      <w:tr w:rsidR="00C25D66" w:rsidRPr="00F25D8F" w14:paraId="4FBE9DF9" w14:textId="77777777" w:rsidTr="00FE53AF">
        <w:tc>
          <w:tcPr>
            <w:tcW w:w="877" w:type="dxa"/>
          </w:tcPr>
          <w:p w14:paraId="1062C6BC" w14:textId="5158D486" w:rsidR="00C25D66" w:rsidRPr="007B1D80" w:rsidRDefault="00C25D66" w:rsidP="00820DDC">
            <w:pPr>
              <w:rPr>
                <w:rFonts w:eastAsia="Times" w:cs="Arial"/>
                <w:b/>
              </w:rPr>
            </w:pPr>
          </w:p>
        </w:tc>
        <w:tc>
          <w:tcPr>
            <w:tcW w:w="6854" w:type="dxa"/>
          </w:tcPr>
          <w:p w14:paraId="07C131A9" w14:textId="24F314BF" w:rsidR="00C25D66" w:rsidRPr="006C5EB3" w:rsidRDefault="006C5EB3" w:rsidP="00820DDC">
            <w:pPr>
              <w:jc w:val="both"/>
              <w:rPr>
                <w:rFonts w:eastAsia="Times" w:cs="Arial"/>
              </w:rPr>
            </w:pPr>
            <w:r w:rsidRPr="006C5EB3">
              <w:rPr>
                <w:rFonts w:eastAsia="Times" w:cs="Arial"/>
              </w:rPr>
              <w:t xml:space="preserve">Jonathon McFerran </w:t>
            </w:r>
            <w:r w:rsidR="002027D9">
              <w:rPr>
                <w:rFonts w:eastAsia="Times" w:cs="Arial"/>
              </w:rPr>
              <w:t xml:space="preserve">deputising for Rosemary Agnew </w:t>
            </w:r>
            <w:r w:rsidRPr="006C5EB3">
              <w:rPr>
                <w:rFonts w:eastAsia="Times" w:cs="Arial"/>
              </w:rPr>
              <w:t xml:space="preserve">advised that </w:t>
            </w:r>
            <w:r w:rsidR="00AA40BC">
              <w:rPr>
                <w:rFonts w:eastAsia="Times" w:cs="Arial"/>
              </w:rPr>
              <w:t>we are as prepared as we can be. The risk is that the further we move from the readiness date people do other things and we become less ready.</w:t>
            </w:r>
          </w:p>
          <w:p w14:paraId="199AC244" w14:textId="77777777" w:rsidR="006C5EB3" w:rsidRPr="006C5EB3" w:rsidRDefault="006C5EB3" w:rsidP="00820DDC">
            <w:pPr>
              <w:jc w:val="both"/>
              <w:rPr>
                <w:rFonts w:eastAsia="Times" w:cs="Arial"/>
              </w:rPr>
            </w:pPr>
          </w:p>
          <w:p w14:paraId="386EC7DB" w14:textId="1EFA1560" w:rsidR="006C5EB3" w:rsidRPr="00F25D8F" w:rsidRDefault="00844E2A" w:rsidP="00A85833">
            <w:pPr>
              <w:jc w:val="both"/>
              <w:rPr>
                <w:rFonts w:eastAsia="Times" w:cs="Arial"/>
                <w:b/>
              </w:rPr>
            </w:pPr>
            <w:r>
              <w:rPr>
                <w:rFonts w:eastAsia="Times" w:cs="Arial"/>
              </w:rPr>
              <w:t>R</w:t>
            </w:r>
            <w:r w:rsidR="006C5EB3" w:rsidRPr="006C5EB3">
              <w:rPr>
                <w:rFonts w:eastAsia="Times" w:cs="Arial"/>
              </w:rPr>
              <w:t>isk rating</w:t>
            </w:r>
            <w:r>
              <w:rPr>
                <w:rFonts w:eastAsia="Times" w:cs="Arial"/>
              </w:rPr>
              <w:t xml:space="preserve"> remains red</w:t>
            </w:r>
            <w:r w:rsidR="006C5EB3" w:rsidRPr="006C5EB3">
              <w:rPr>
                <w:rFonts w:eastAsia="Times" w:cs="Arial"/>
              </w:rPr>
              <w:t>.</w:t>
            </w:r>
          </w:p>
        </w:tc>
        <w:tc>
          <w:tcPr>
            <w:tcW w:w="2463" w:type="dxa"/>
          </w:tcPr>
          <w:p w14:paraId="0CF5E0D2" w14:textId="77777777" w:rsidR="00C25D66" w:rsidRPr="00F25D8F" w:rsidRDefault="00C25D66" w:rsidP="00820DDC">
            <w:pPr>
              <w:rPr>
                <w:rFonts w:eastAsia="Times" w:cs="Arial"/>
              </w:rPr>
            </w:pPr>
          </w:p>
        </w:tc>
      </w:tr>
      <w:tr w:rsidR="00F25D8F" w:rsidRPr="00F25D8F" w14:paraId="6FE6DBBC" w14:textId="77777777" w:rsidTr="00FE53AF">
        <w:tc>
          <w:tcPr>
            <w:tcW w:w="877" w:type="dxa"/>
          </w:tcPr>
          <w:p w14:paraId="6DA85CB0" w14:textId="728E55A8" w:rsidR="00820DDC" w:rsidRPr="007B1D80" w:rsidRDefault="00820DDC" w:rsidP="00820DDC">
            <w:pPr>
              <w:rPr>
                <w:rFonts w:eastAsia="Times" w:cs="Arial"/>
                <w:b/>
              </w:rPr>
            </w:pPr>
          </w:p>
        </w:tc>
        <w:tc>
          <w:tcPr>
            <w:tcW w:w="6854" w:type="dxa"/>
          </w:tcPr>
          <w:p w14:paraId="6EF8C219" w14:textId="1559D694" w:rsidR="00820DDC" w:rsidRPr="00F25D8F" w:rsidRDefault="00FE53AF" w:rsidP="00820DDC">
            <w:pPr>
              <w:jc w:val="both"/>
              <w:rPr>
                <w:rFonts w:eastAsia="Times" w:cs="Arial"/>
                <w:b/>
              </w:rPr>
            </w:pPr>
            <w:r>
              <w:rPr>
                <w:rFonts w:eastAsia="Times" w:cs="Arial"/>
                <w:b/>
              </w:rPr>
              <w:t>Risk 5</w:t>
            </w:r>
          </w:p>
        </w:tc>
        <w:tc>
          <w:tcPr>
            <w:tcW w:w="2463" w:type="dxa"/>
          </w:tcPr>
          <w:p w14:paraId="583B2427" w14:textId="77777777" w:rsidR="00820DDC" w:rsidRPr="00F25D8F" w:rsidRDefault="00820DDC" w:rsidP="00820DDC">
            <w:pPr>
              <w:rPr>
                <w:rFonts w:eastAsia="Times" w:cs="Arial"/>
              </w:rPr>
            </w:pPr>
          </w:p>
        </w:tc>
      </w:tr>
      <w:tr w:rsidR="00F25D8F" w:rsidRPr="00F25D8F" w14:paraId="48DABD57" w14:textId="77777777" w:rsidTr="00FE53AF">
        <w:tc>
          <w:tcPr>
            <w:tcW w:w="877" w:type="dxa"/>
          </w:tcPr>
          <w:p w14:paraId="0688A6E6" w14:textId="771E29D3" w:rsidR="00B66B7E" w:rsidRPr="007B1D80" w:rsidRDefault="00B66B7E" w:rsidP="00820DDC">
            <w:pPr>
              <w:rPr>
                <w:rFonts w:eastAsia="Times" w:cs="Arial"/>
                <w:b/>
              </w:rPr>
            </w:pPr>
          </w:p>
        </w:tc>
        <w:tc>
          <w:tcPr>
            <w:tcW w:w="6854" w:type="dxa"/>
          </w:tcPr>
          <w:p w14:paraId="192DBB18" w14:textId="0E6242D9" w:rsidR="006C5EB3" w:rsidRDefault="00AA40BC" w:rsidP="00AA40BC">
            <w:pPr>
              <w:jc w:val="both"/>
              <w:rPr>
                <w:rFonts w:eastAsia="Times" w:cs="Arial"/>
              </w:rPr>
            </w:pPr>
            <w:r>
              <w:rPr>
                <w:rFonts w:eastAsia="Times" w:cs="Arial"/>
              </w:rPr>
              <w:t xml:space="preserve">Brian Dooher </w:t>
            </w:r>
            <w:r w:rsidR="006C5EB3" w:rsidRPr="006C5EB3">
              <w:rPr>
                <w:rFonts w:eastAsia="Times" w:cs="Arial"/>
              </w:rPr>
              <w:t xml:space="preserve">reported that </w:t>
            </w:r>
            <w:r>
              <w:rPr>
                <w:rFonts w:eastAsia="Times" w:cs="Arial"/>
              </w:rPr>
              <w:t xml:space="preserve">additional actions in respect of staffing appointments are ongoing. </w:t>
            </w:r>
          </w:p>
          <w:p w14:paraId="69ABCE69" w14:textId="77777777" w:rsidR="00C352B2" w:rsidRDefault="00C352B2" w:rsidP="006C5EB3">
            <w:pPr>
              <w:jc w:val="both"/>
              <w:rPr>
                <w:rFonts w:eastAsia="Times" w:cs="Arial"/>
              </w:rPr>
            </w:pPr>
          </w:p>
          <w:p w14:paraId="437772BD" w14:textId="33142565" w:rsidR="00C352B2" w:rsidRPr="006C5EB3" w:rsidRDefault="00844E2A" w:rsidP="00AA40BC">
            <w:pPr>
              <w:jc w:val="both"/>
              <w:rPr>
                <w:rFonts w:eastAsia="Times" w:cs="Arial"/>
              </w:rPr>
            </w:pPr>
            <w:r>
              <w:rPr>
                <w:rFonts w:eastAsia="Times" w:cs="Arial"/>
              </w:rPr>
              <w:t>R</w:t>
            </w:r>
            <w:r w:rsidRPr="006C5EB3">
              <w:rPr>
                <w:rFonts w:eastAsia="Times" w:cs="Arial"/>
              </w:rPr>
              <w:t>isk rating</w:t>
            </w:r>
            <w:r>
              <w:rPr>
                <w:rFonts w:eastAsia="Times" w:cs="Arial"/>
              </w:rPr>
              <w:t xml:space="preserve"> remains </w:t>
            </w:r>
            <w:r w:rsidR="00AA40BC">
              <w:rPr>
                <w:rFonts w:eastAsia="Times" w:cs="Arial"/>
              </w:rPr>
              <w:t>amb</w:t>
            </w:r>
            <w:r>
              <w:rPr>
                <w:rFonts w:eastAsia="Times" w:cs="Arial"/>
              </w:rPr>
              <w:t>e</w:t>
            </w:r>
            <w:r w:rsidR="00AA40BC">
              <w:rPr>
                <w:rFonts w:eastAsia="Times" w:cs="Arial"/>
              </w:rPr>
              <w:t>r</w:t>
            </w:r>
            <w:r w:rsidRPr="006C5EB3">
              <w:rPr>
                <w:rFonts w:eastAsia="Times" w:cs="Arial"/>
              </w:rPr>
              <w:t>.</w:t>
            </w:r>
          </w:p>
        </w:tc>
        <w:tc>
          <w:tcPr>
            <w:tcW w:w="2463" w:type="dxa"/>
          </w:tcPr>
          <w:p w14:paraId="58798471" w14:textId="77777777" w:rsidR="00B66B7E" w:rsidRPr="00F25D8F" w:rsidRDefault="00B66B7E" w:rsidP="00820DDC">
            <w:pPr>
              <w:rPr>
                <w:rFonts w:eastAsia="Times" w:cs="Arial"/>
              </w:rPr>
            </w:pPr>
          </w:p>
        </w:tc>
      </w:tr>
      <w:tr w:rsidR="00407808" w:rsidRPr="00F25D8F" w14:paraId="38A2B196" w14:textId="77777777" w:rsidTr="00FE53AF">
        <w:tc>
          <w:tcPr>
            <w:tcW w:w="877" w:type="dxa"/>
          </w:tcPr>
          <w:p w14:paraId="78123A9F" w14:textId="26EB5255" w:rsidR="00407808" w:rsidRPr="007B1D80" w:rsidRDefault="00A85833" w:rsidP="00820DDC">
            <w:pPr>
              <w:rPr>
                <w:rFonts w:eastAsia="Times" w:cs="Arial"/>
                <w:b/>
              </w:rPr>
            </w:pPr>
            <w:r>
              <w:br w:type="page"/>
            </w:r>
          </w:p>
        </w:tc>
        <w:tc>
          <w:tcPr>
            <w:tcW w:w="6854" w:type="dxa"/>
          </w:tcPr>
          <w:p w14:paraId="6E5FD0D5" w14:textId="5710AAF3" w:rsidR="00407808" w:rsidRPr="00FE53AF" w:rsidRDefault="00FE53AF" w:rsidP="00820DDC">
            <w:pPr>
              <w:rPr>
                <w:rFonts w:eastAsia="Times" w:cs="Arial"/>
                <w:b/>
              </w:rPr>
            </w:pPr>
            <w:r w:rsidRPr="00FE53AF">
              <w:rPr>
                <w:rFonts w:eastAsia="Times" w:cs="Arial"/>
                <w:b/>
              </w:rPr>
              <w:t>Risk 6</w:t>
            </w:r>
          </w:p>
        </w:tc>
        <w:tc>
          <w:tcPr>
            <w:tcW w:w="2463" w:type="dxa"/>
          </w:tcPr>
          <w:p w14:paraId="6CDB6AF2" w14:textId="77777777" w:rsidR="00407808" w:rsidRPr="00F25D8F" w:rsidRDefault="00407808" w:rsidP="00820DDC">
            <w:pPr>
              <w:rPr>
                <w:rFonts w:eastAsia="Times" w:cs="Arial"/>
                <w:b/>
              </w:rPr>
            </w:pPr>
          </w:p>
        </w:tc>
      </w:tr>
      <w:tr w:rsidR="00F25D8F" w:rsidRPr="00F25D8F" w14:paraId="44186613" w14:textId="77777777" w:rsidTr="00FE53AF">
        <w:tc>
          <w:tcPr>
            <w:tcW w:w="877" w:type="dxa"/>
          </w:tcPr>
          <w:p w14:paraId="43EDCEDA" w14:textId="6389AC62" w:rsidR="00820DDC" w:rsidRPr="007B1D80" w:rsidRDefault="00820DDC" w:rsidP="00407808">
            <w:pPr>
              <w:rPr>
                <w:rFonts w:eastAsia="Times" w:cs="Arial"/>
                <w:b/>
              </w:rPr>
            </w:pPr>
          </w:p>
        </w:tc>
        <w:tc>
          <w:tcPr>
            <w:tcW w:w="6854" w:type="dxa"/>
          </w:tcPr>
          <w:p w14:paraId="7DAD2AEA" w14:textId="77777777" w:rsidR="00AA40BC" w:rsidRDefault="002027D9" w:rsidP="00A85833">
            <w:pPr>
              <w:jc w:val="both"/>
              <w:rPr>
                <w:rFonts w:eastAsia="Times" w:cs="Arial"/>
              </w:rPr>
            </w:pPr>
            <w:r w:rsidRPr="002027D9">
              <w:rPr>
                <w:rFonts w:eastAsia="Times" w:cs="Arial"/>
              </w:rPr>
              <w:t xml:space="preserve">John Joe O’Boyle reported that </w:t>
            </w:r>
            <w:r w:rsidR="00AA40BC">
              <w:rPr>
                <w:rFonts w:eastAsia="Times" w:cs="Arial"/>
              </w:rPr>
              <w:t>Plant Health is on track.</w:t>
            </w:r>
            <w:r w:rsidRPr="002027D9">
              <w:rPr>
                <w:rFonts w:eastAsia="Times" w:cs="Arial"/>
              </w:rPr>
              <w:t xml:space="preserve"> </w:t>
            </w:r>
          </w:p>
          <w:p w14:paraId="7956ACF2" w14:textId="77777777" w:rsidR="00AA40BC" w:rsidRDefault="00AA40BC" w:rsidP="00A85833">
            <w:pPr>
              <w:jc w:val="both"/>
              <w:rPr>
                <w:rFonts w:eastAsia="Times" w:cs="Arial"/>
              </w:rPr>
            </w:pPr>
          </w:p>
          <w:p w14:paraId="098F7FD3" w14:textId="05E71C77" w:rsidR="00820DDC" w:rsidRPr="002027D9" w:rsidRDefault="00AA40BC" w:rsidP="00A85833">
            <w:pPr>
              <w:jc w:val="both"/>
              <w:rPr>
                <w:rFonts w:eastAsia="Times" w:cs="Arial"/>
              </w:rPr>
            </w:pPr>
            <w:r>
              <w:rPr>
                <w:rFonts w:eastAsia="Times" w:cs="Arial"/>
              </w:rPr>
              <w:t>Outstanding action</w:t>
            </w:r>
            <w:r w:rsidR="00164D62">
              <w:rPr>
                <w:rFonts w:eastAsia="Times" w:cs="Arial"/>
              </w:rPr>
              <w:t>s</w:t>
            </w:r>
            <w:r>
              <w:rPr>
                <w:rFonts w:eastAsia="Times" w:cs="Arial"/>
              </w:rPr>
              <w:t xml:space="preserve"> to be updated by Forest Service</w:t>
            </w:r>
            <w:r w:rsidR="002027D9" w:rsidRPr="002027D9">
              <w:rPr>
                <w:rFonts w:eastAsia="Times" w:cs="Arial"/>
              </w:rPr>
              <w:t>.</w:t>
            </w:r>
          </w:p>
          <w:p w14:paraId="449F63D0" w14:textId="77777777" w:rsidR="002027D9" w:rsidRPr="002027D9" w:rsidRDefault="002027D9" w:rsidP="00A85833">
            <w:pPr>
              <w:jc w:val="both"/>
              <w:rPr>
                <w:rFonts w:eastAsia="Times" w:cs="Arial"/>
              </w:rPr>
            </w:pPr>
          </w:p>
          <w:p w14:paraId="15256A06" w14:textId="61D400B4" w:rsidR="002027D9" w:rsidRPr="00FE53AF" w:rsidRDefault="002027D9" w:rsidP="00AA40BC">
            <w:pPr>
              <w:jc w:val="both"/>
              <w:rPr>
                <w:rFonts w:eastAsia="Times" w:cs="Arial"/>
                <w:b/>
              </w:rPr>
            </w:pPr>
            <w:r w:rsidRPr="002027D9">
              <w:rPr>
                <w:rFonts w:eastAsia="Times" w:cs="Arial"/>
              </w:rPr>
              <w:t xml:space="preserve">Risk rating </w:t>
            </w:r>
            <w:r w:rsidR="00AA40BC">
              <w:rPr>
                <w:rFonts w:eastAsia="Times" w:cs="Arial"/>
              </w:rPr>
              <w:t>remains</w:t>
            </w:r>
            <w:r w:rsidRPr="002027D9">
              <w:rPr>
                <w:rFonts w:eastAsia="Times" w:cs="Arial"/>
              </w:rPr>
              <w:t xml:space="preserve"> amber.</w:t>
            </w:r>
          </w:p>
        </w:tc>
        <w:tc>
          <w:tcPr>
            <w:tcW w:w="2463" w:type="dxa"/>
          </w:tcPr>
          <w:p w14:paraId="57612013" w14:textId="373B4601" w:rsidR="00820DDC" w:rsidRPr="00F25D8F" w:rsidRDefault="00AA40BC" w:rsidP="00AA40BC">
            <w:pPr>
              <w:rPr>
                <w:rFonts w:eastAsia="Times" w:cs="Arial"/>
                <w:b/>
              </w:rPr>
            </w:pPr>
            <w:r>
              <w:rPr>
                <w:rFonts w:eastAsia="Times" w:cs="Arial"/>
                <w:b/>
              </w:rPr>
              <w:t>John Joe O’Boyle</w:t>
            </w:r>
          </w:p>
        </w:tc>
      </w:tr>
      <w:tr w:rsidR="00AA40BC" w:rsidRPr="00F25D8F" w14:paraId="67D66D01" w14:textId="77777777" w:rsidTr="00FE53AF">
        <w:tc>
          <w:tcPr>
            <w:tcW w:w="877" w:type="dxa"/>
          </w:tcPr>
          <w:p w14:paraId="2C23DDE9" w14:textId="77777777" w:rsidR="00AA40BC" w:rsidRPr="007B1D80" w:rsidRDefault="00AA40BC" w:rsidP="00820DDC">
            <w:pPr>
              <w:rPr>
                <w:rFonts w:eastAsia="Times" w:cs="Arial"/>
                <w:b/>
              </w:rPr>
            </w:pPr>
          </w:p>
        </w:tc>
        <w:tc>
          <w:tcPr>
            <w:tcW w:w="6854" w:type="dxa"/>
          </w:tcPr>
          <w:p w14:paraId="77050577" w14:textId="5DD649CC" w:rsidR="00AA40BC" w:rsidRPr="00FE53AF" w:rsidRDefault="00AA40BC" w:rsidP="00A85833">
            <w:pPr>
              <w:jc w:val="both"/>
              <w:rPr>
                <w:rFonts w:eastAsia="Times" w:cs="Arial"/>
                <w:b/>
              </w:rPr>
            </w:pPr>
            <w:r>
              <w:rPr>
                <w:rFonts w:eastAsia="Times" w:cs="Arial"/>
                <w:b/>
              </w:rPr>
              <w:t>Risk 7</w:t>
            </w:r>
          </w:p>
        </w:tc>
        <w:tc>
          <w:tcPr>
            <w:tcW w:w="2463" w:type="dxa"/>
          </w:tcPr>
          <w:p w14:paraId="16AF8D8F" w14:textId="77777777" w:rsidR="00AA40BC" w:rsidRPr="00F25D8F" w:rsidRDefault="00AA40BC" w:rsidP="00820DDC">
            <w:pPr>
              <w:rPr>
                <w:rFonts w:eastAsia="Times" w:cs="Arial"/>
              </w:rPr>
            </w:pPr>
          </w:p>
        </w:tc>
      </w:tr>
      <w:tr w:rsidR="00AA40BC" w:rsidRPr="00F25D8F" w14:paraId="671CC046" w14:textId="77777777" w:rsidTr="00FE53AF">
        <w:tc>
          <w:tcPr>
            <w:tcW w:w="877" w:type="dxa"/>
          </w:tcPr>
          <w:p w14:paraId="4CA6A032" w14:textId="77777777" w:rsidR="00AA40BC" w:rsidRPr="007B1D80" w:rsidRDefault="00AA40BC" w:rsidP="00820DDC">
            <w:pPr>
              <w:rPr>
                <w:rFonts w:eastAsia="Times" w:cs="Arial"/>
                <w:b/>
              </w:rPr>
            </w:pPr>
          </w:p>
        </w:tc>
        <w:tc>
          <w:tcPr>
            <w:tcW w:w="6854" w:type="dxa"/>
          </w:tcPr>
          <w:p w14:paraId="36A53155" w14:textId="30594890" w:rsidR="00AA40BC" w:rsidRPr="00CB5C8C" w:rsidRDefault="00AA40BC" w:rsidP="00A85833">
            <w:pPr>
              <w:jc w:val="both"/>
              <w:rPr>
                <w:rFonts w:eastAsia="Times" w:cs="Arial"/>
              </w:rPr>
            </w:pPr>
            <w:r w:rsidRPr="00CB5C8C">
              <w:rPr>
                <w:rFonts w:eastAsia="Times" w:cs="Arial"/>
              </w:rPr>
              <w:t>Sean McGrade apologised that he had no</w:t>
            </w:r>
            <w:r w:rsidR="00CB5C8C">
              <w:rPr>
                <w:rFonts w:eastAsia="Times" w:cs="Arial"/>
              </w:rPr>
              <w:t>t</w:t>
            </w:r>
            <w:r w:rsidRPr="00CB5C8C">
              <w:rPr>
                <w:rFonts w:eastAsia="Times" w:cs="Arial"/>
              </w:rPr>
              <w:t xml:space="preserve"> </w:t>
            </w:r>
            <w:r w:rsidR="00CB5C8C">
              <w:rPr>
                <w:rFonts w:eastAsia="Times" w:cs="Arial"/>
              </w:rPr>
              <w:t>reviewe</w:t>
            </w:r>
            <w:r w:rsidRPr="00CB5C8C">
              <w:rPr>
                <w:rFonts w:eastAsia="Times" w:cs="Arial"/>
              </w:rPr>
              <w:t>d the AFBI position. He noted that the fact the 17/18 AFBI Accoun</w:t>
            </w:r>
            <w:r w:rsidR="00CB5C8C">
              <w:rPr>
                <w:rFonts w:eastAsia="Times" w:cs="Arial"/>
              </w:rPr>
              <w:t>t</w:t>
            </w:r>
            <w:r w:rsidRPr="00CB5C8C">
              <w:rPr>
                <w:rFonts w:eastAsia="Times" w:cs="Arial"/>
              </w:rPr>
              <w:t>s had now been signed off was a positive.</w:t>
            </w:r>
          </w:p>
          <w:p w14:paraId="2ADAA40D" w14:textId="77777777" w:rsidR="00AA40BC" w:rsidRPr="00CB5C8C" w:rsidRDefault="00AA40BC" w:rsidP="00A85833">
            <w:pPr>
              <w:jc w:val="both"/>
              <w:rPr>
                <w:rFonts w:eastAsia="Times" w:cs="Arial"/>
              </w:rPr>
            </w:pPr>
          </w:p>
          <w:p w14:paraId="727D36F1" w14:textId="77777777" w:rsidR="00AA40BC" w:rsidRDefault="00AA40BC" w:rsidP="00A85833">
            <w:pPr>
              <w:jc w:val="both"/>
              <w:rPr>
                <w:rFonts w:eastAsia="Times" w:cs="Arial"/>
              </w:rPr>
            </w:pPr>
            <w:r w:rsidRPr="00CB5C8C">
              <w:rPr>
                <w:rFonts w:eastAsia="Times" w:cs="Arial"/>
              </w:rPr>
              <w:t xml:space="preserve">Sean McGrade to review AFBI </w:t>
            </w:r>
            <w:r w:rsidR="00CB5C8C" w:rsidRPr="00CB5C8C">
              <w:rPr>
                <w:rFonts w:eastAsia="Times" w:cs="Arial"/>
              </w:rPr>
              <w:t>CRR input</w:t>
            </w:r>
            <w:r w:rsidR="00CB5C8C">
              <w:rPr>
                <w:rFonts w:eastAsia="Times" w:cs="Arial"/>
              </w:rPr>
              <w:t>.</w:t>
            </w:r>
          </w:p>
          <w:p w14:paraId="61F8F56A" w14:textId="77777777" w:rsidR="00CB5C8C" w:rsidRDefault="00CB5C8C" w:rsidP="00A85833">
            <w:pPr>
              <w:jc w:val="both"/>
              <w:rPr>
                <w:rFonts w:eastAsia="Times" w:cs="Arial"/>
              </w:rPr>
            </w:pPr>
          </w:p>
          <w:p w14:paraId="06425070" w14:textId="77777777" w:rsidR="00CB5C8C" w:rsidRDefault="00CB5C8C" w:rsidP="00CB5C8C">
            <w:pPr>
              <w:jc w:val="both"/>
              <w:rPr>
                <w:rFonts w:eastAsia="Times" w:cs="Arial"/>
              </w:rPr>
            </w:pPr>
            <w:r>
              <w:rPr>
                <w:rFonts w:eastAsia="Times" w:cs="Arial"/>
              </w:rPr>
              <w:t>Risk remains Red.</w:t>
            </w:r>
          </w:p>
          <w:p w14:paraId="39149D3F" w14:textId="77777777" w:rsidR="00CB5C8C" w:rsidRDefault="00CB5C8C" w:rsidP="00CB5C8C">
            <w:pPr>
              <w:jc w:val="both"/>
              <w:rPr>
                <w:rFonts w:eastAsia="Times" w:cs="Arial"/>
              </w:rPr>
            </w:pPr>
          </w:p>
          <w:p w14:paraId="66E15B71" w14:textId="77777777" w:rsidR="00CB5C8C" w:rsidRDefault="00CB5C8C" w:rsidP="00CB5C8C">
            <w:pPr>
              <w:jc w:val="both"/>
              <w:rPr>
                <w:rFonts w:eastAsia="Times" w:cs="Arial"/>
              </w:rPr>
            </w:pPr>
          </w:p>
          <w:p w14:paraId="2F5C88B7" w14:textId="6C2FF120" w:rsidR="00CB5C8C" w:rsidRPr="00FE53AF" w:rsidRDefault="00CB5C8C" w:rsidP="00CB5C8C">
            <w:pPr>
              <w:jc w:val="both"/>
              <w:rPr>
                <w:rFonts w:eastAsia="Times" w:cs="Arial"/>
                <w:b/>
              </w:rPr>
            </w:pPr>
          </w:p>
        </w:tc>
        <w:tc>
          <w:tcPr>
            <w:tcW w:w="2463" w:type="dxa"/>
          </w:tcPr>
          <w:p w14:paraId="6C417D46" w14:textId="77777777" w:rsidR="00AA40BC" w:rsidRDefault="00AA40BC" w:rsidP="00820DDC">
            <w:pPr>
              <w:rPr>
                <w:rFonts w:eastAsia="Times" w:cs="Arial"/>
              </w:rPr>
            </w:pPr>
          </w:p>
          <w:p w14:paraId="276FD2C7" w14:textId="77777777" w:rsidR="00CB5C8C" w:rsidRDefault="00CB5C8C" w:rsidP="00820DDC">
            <w:pPr>
              <w:rPr>
                <w:rFonts w:eastAsia="Times" w:cs="Arial"/>
              </w:rPr>
            </w:pPr>
          </w:p>
          <w:p w14:paraId="07F5E8F3" w14:textId="77777777" w:rsidR="00CB5C8C" w:rsidRDefault="00CB5C8C" w:rsidP="00820DDC">
            <w:pPr>
              <w:rPr>
                <w:rFonts w:eastAsia="Times" w:cs="Arial"/>
              </w:rPr>
            </w:pPr>
          </w:p>
          <w:p w14:paraId="7FF65EC8" w14:textId="77777777" w:rsidR="00CB5C8C" w:rsidRDefault="00CB5C8C" w:rsidP="00820DDC">
            <w:pPr>
              <w:rPr>
                <w:rFonts w:eastAsia="Times" w:cs="Arial"/>
              </w:rPr>
            </w:pPr>
          </w:p>
          <w:p w14:paraId="0BF59333" w14:textId="56EBD13F" w:rsidR="00CB5C8C" w:rsidRPr="00CB5C8C" w:rsidRDefault="00CB5C8C" w:rsidP="00820DDC">
            <w:pPr>
              <w:rPr>
                <w:rFonts w:eastAsia="Times" w:cs="Arial"/>
                <w:b/>
              </w:rPr>
            </w:pPr>
            <w:r w:rsidRPr="00CB5C8C">
              <w:rPr>
                <w:rFonts w:eastAsia="Times" w:cs="Arial"/>
                <w:b/>
              </w:rPr>
              <w:t>Sean McGrade</w:t>
            </w:r>
          </w:p>
        </w:tc>
      </w:tr>
      <w:tr w:rsidR="00407808" w:rsidRPr="00F25D8F" w14:paraId="0E3D9FC4" w14:textId="77777777" w:rsidTr="00FE53AF">
        <w:tc>
          <w:tcPr>
            <w:tcW w:w="877" w:type="dxa"/>
          </w:tcPr>
          <w:p w14:paraId="1DA2659D" w14:textId="48B1A44D" w:rsidR="00407808" w:rsidRPr="007B1D80" w:rsidRDefault="00407808" w:rsidP="00820DDC">
            <w:pPr>
              <w:rPr>
                <w:rFonts w:eastAsia="Times" w:cs="Arial"/>
                <w:b/>
              </w:rPr>
            </w:pPr>
          </w:p>
        </w:tc>
        <w:tc>
          <w:tcPr>
            <w:tcW w:w="6854" w:type="dxa"/>
          </w:tcPr>
          <w:p w14:paraId="7A20ECDB" w14:textId="170A0691" w:rsidR="00CC20DF" w:rsidRPr="00FE53AF" w:rsidRDefault="00FE53AF" w:rsidP="00A85833">
            <w:pPr>
              <w:jc w:val="both"/>
              <w:rPr>
                <w:rFonts w:eastAsia="Times" w:cs="Arial"/>
                <w:b/>
              </w:rPr>
            </w:pPr>
            <w:r w:rsidRPr="00FE53AF">
              <w:rPr>
                <w:rFonts w:eastAsia="Times" w:cs="Arial"/>
                <w:b/>
              </w:rPr>
              <w:t>Risk 8</w:t>
            </w:r>
            <w:r w:rsidR="00C352B2">
              <w:rPr>
                <w:rFonts w:eastAsia="Times" w:cs="Arial"/>
                <w:b/>
              </w:rPr>
              <w:t>a</w:t>
            </w:r>
          </w:p>
        </w:tc>
        <w:tc>
          <w:tcPr>
            <w:tcW w:w="2463" w:type="dxa"/>
          </w:tcPr>
          <w:p w14:paraId="5C2B8FEF" w14:textId="77777777" w:rsidR="00407808" w:rsidRPr="00F25D8F" w:rsidRDefault="00407808" w:rsidP="00820DDC">
            <w:pPr>
              <w:rPr>
                <w:rFonts w:eastAsia="Times" w:cs="Arial"/>
              </w:rPr>
            </w:pPr>
          </w:p>
        </w:tc>
      </w:tr>
      <w:tr w:rsidR="00F25D8F" w:rsidRPr="00F25D8F" w14:paraId="4E6589AF" w14:textId="77777777" w:rsidTr="00FE53AF">
        <w:tc>
          <w:tcPr>
            <w:tcW w:w="877" w:type="dxa"/>
          </w:tcPr>
          <w:p w14:paraId="32783B73" w14:textId="0597658D" w:rsidR="00F25D8F" w:rsidRPr="007B1D80" w:rsidRDefault="00F25D8F" w:rsidP="00407808">
            <w:pPr>
              <w:rPr>
                <w:rFonts w:eastAsia="Times" w:cs="Arial"/>
                <w:b/>
              </w:rPr>
            </w:pPr>
          </w:p>
        </w:tc>
        <w:tc>
          <w:tcPr>
            <w:tcW w:w="6854" w:type="dxa"/>
          </w:tcPr>
          <w:p w14:paraId="05A3D8A4" w14:textId="495DDE21" w:rsidR="00C352B2" w:rsidRDefault="00CB5C8C" w:rsidP="00A85833">
            <w:pPr>
              <w:jc w:val="both"/>
              <w:rPr>
                <w:rFonts w:eastAsia="Times" w:cs="Arial"/>
              </w:rPr>
            </w:pPr>
            <w:r>
              <w:rPr>
                <w:rFonts w:eastAsia="Times" w:cs="Arial"/>
              </w:rPr>
              <w:t xml:space="preserve">Jason Foy </w:t>
            </w:r>
            <w:r w:rsidR="00C352B2" w:rsidRPr="00C352B2">
              <w:rPr>
                <w:rFonts w:eastAsia="Times" w:cs="Arial"/>
              </w:rPr>
              <w:t xml:space="preserve">reported that </w:t>
            </w:r>
            <w:r>
              <w:rPr>
                <w:rFonts w:eastAsia="Times" w:cs="Arial"/>
              </w:rPr>
              <w:t>amber is now appropriate for th</w:t>
            </w:r>
            <w:r w:rsidR="00C352B2" w:rsidRPr="00C352B2">
              <w:rPr>
                <w:rFonts w:eastAsia="Times" w:cs="Arial"/>
              </w:rPr>
              <w:t>is risk</w:t>
            </w:r>
            <w:r>
              <w:rPr>
                <w:rFonts w:eastAsia="Times" w:cs="Arial"/>
              </w:rPr>
              <w:t xml:space="preserve"> as they have just come through 2 major audits with no disallowance.</w:t>
            </w:r>
            <w:r w:rsidR="00C352B2" w:rsidRPr="00C352B2">
              <w:rPr>
                <w:rFonts w:eastAsia="Times" w:cs="Arial"/>
              </w:rPr>
              <w:t xml:space="preserve"> </w:t>
            </w:r>
          </w:p>
          <w:p w14:paraId="09B0EB3F" w14:textId="77777777" w:rsidR="00C352B2" w:rsidRDefault="00C352B2" w:rsidP="00A85833">
            <w:pPr>
              <w:jc w:val="both"/>
              <w:rPr>
                <w:rFonts w:eastAsia="Times" w:cs="Arial"/>
              </w:rPr>
            </w:pPr>
          </w:p>
          <w:p w14:paraId="498D70E9" w14:textId="7E3C5904" w:rsidR="00C352B2" w:rsidRPr="00FE53AF" w:rsidRDefault="00844E2A" w:rsidP="00CB5C8C">
            <w:pPr>
              <w:jc w:val="both"/>
              <w:rPr>
                <w:rFonts w:eastAsia="Times" w:cs="Arial"/>
                <w:b/>
              </w:rPr>
            </w:pPr>
            <w:r>
              <w:rPr>
                <w:rFonts w:eastAsia="Times" w:cs="Arial"/>
              </w:rPr>
              <w:t>R</w:t>
            </w:r>
            <w:r w:rsidRPr="006C5EB3">
              <w:rPr>
                <w:rFonts w:eastAsia="Times" w:cs="Arial"/>
              </w:rPr>
              <w:t>isk rating</w:t>
            </w:r>
            <w:r>
              <w:rPr>
                <w:rFonts w:eastAsia="Times" w:cs="Arial"/>
              </w:rPr>
              <w:t xml:space="preserve"> </w:t>
            </w:r>
            <w:r w:rsidR="00CB5C8C">
              <w:rPr>
                <w:rFonts w:eastAsia="Times" w:cs="Arial"/>
              </w:rPr>
              <w:t>amended to</w:t>
            </w:r>
            <w:r>
              <w:rPr>
                <w:rFonts w:eastAsia="Times" w:cs="Arial"/>
              </w:rPr>
              <w:t xml:space="preserve"> </w:t>
            </w:r>
            <w:r w:rsidR="00CB5C8C">
              <w:rPr>
                <w:rFonts w:eastAsia="Times" w:cs="Arial"/>
              </w:rPr>
              <w:t>amber</w:t>
            </w:r>
            <w:r w:rsidRPr="006C5EB3">
              <w:rPr>
                <w:rFonts w:eastAsia="Times" w:cs="Arial"/>
              </w:rPr>
              <w:t>.</w:t>
            </w:r>
          </w:p>
        </w:tc>
        <w:tc>
          <w:tcPr>
            <w:tcW w:w="2463" w:type="dxa"/>
          </w:tcPr>
          <w:p w14:paraId="52317515" w14:textId="77777777" w:rsidR="00F25D8F" w:rsidRPr="00F25D8F" w:rsidRDefault="00F25D8F" w:rsidP="00820DDC">
            <w:pPr>
              <w:rPr>
                <w:rFonts w:eastAsia="Times" w:cs="Arial"/>
              </w:rPr>
            </w:pPr>
          </w:p>
        </w:tc>
      </w:tr>
      <w:tr w:rsidR="00C352B2" w:rsidRPr="00F25D8F" w14:paraId="33752D8A" w14:textId="77777777" w:rsidTr="00FE53AF">
        <w:tc>
          <w:tcPr>
            <w:tcW w:w="877" w:type="dxa"/>
          </w:tcPr>
          <w:p w14:paraId="4E3FC394" w14:textId="2A827F50" w:rsidR="00C352B2" w:rsidRPr="007B1D80" w:rsidRDefault="00C352B2" w:rsidP="00820DDC">
            <w:pPr>
              <w:rPr>
                <w:rFonts w:eastAsia="Times" w:cs="Arial"/>
                <w:b/>
              </w:rPr>
            </w:pPr>
          </w:p>
        </w:tc>
        <w:tc>
          <w:tcPr>
            <w:tcW w:w="6854" w:type="dxa"/>
          </w:tcPr>
          <w:p w14:paraId="7F3EDEAD" w14:textId="3160DCB4" w:rsidR="00C352B2" w:rsidRPr="00FE53AF" w:rsidRDefault="00C352B2" w:rsidP="005D6E43">
            <w:pPr>
              <w:tabs>
                <w:tab w:val="left" w:pos="6807"/>
              </w:tabs>
              <w:jc w:val="both"/>
              <w:rPr>
                <w:rFonts w:eastAsia="Times" w:cs="Arial"/>
                <w:b/>
              </w:rPr>
            </w:pPr>
            <w:r>
              <w:rPr>
                <w:rFonts w:eastAsia="Times" w:cs="Arial"/>
                <w:b/>
              </w:rPr>
              <w:t>Risk 8b</w:t>
            </w:r>
          </w:p>
        </w:tc>
        <w:tc>
          <w:tcPr>
            <w:tcW w:w="2463" w:type="dxa"/>
          </w:tcPr>
          <w:p w14:paraId="29F191DA" w14:textId="77777777" w:rsidR="00C352B2" w:rsidRPr="007B1D80" w:rsidRDefault="00C352B2" w:rsidP="00820DDC">
            <w:pPr>
              <w:rPr>
                <w:rFonts w:eastAsia="Times" w:cs="Arial"/>
                <w:b/>
              </w:rPr>
            </w:pPr>
          </w:p>
        </w:tc>
      </w:tr>
      <w:tr w:rsidR="00C352B2" w:rsidRPr="00F25D8F" w14:paraId="48BC1637" w14:textId="77777777" w:rsidTr="00FE53AF">
        <w:tc>
          <w:tcPr>
            <w:tcW w:w="877" w:type="dxa"/>
          </w:tcPr>
          <w:p w14:paraId="077A18F5" w14:textId="77777777" w:rsidR="00C352B2" w:rsidRPr="007B1D80" w:rsidRDefault="00C352B2" w:rsidP="00820DDC">
            <w:pPr>
              <w:rPr>
                <w:rFonts w:eastAsia="Times" w:cs="Arial"/>
                <w:b/>
              </w:rPr>
            </w:pPr>
          </w:p>
        </w:tc>
        <w:tc>
          <w:tcPr>
            <w:tcW w:w="6854" w:type="dxa"/>
          </w:tcPr>
          <w:p w14:paraId="6B5ADA5B" w14:textId="1944F626" w:rsidR="00C352B2" w:rsidRPr="00C352B2" w:rsidRDefault="00C352B2" w:rsidP="005D6E43">
            <w:pPr>
              <w:tabs>
                <w:tab w:val="left" w:pos="6807"/>
              </w:tabs>
              <w:jc w:val="both"/>
              <w:rPr>
                <w:rFonts w:eastAsia="Times" w:cs="Arial"/>
              </w:rPr>
            </w:pPr>
            <w:r w:rsidRPr="00C352B2">
              <w:rPr>
                <w:rFonts w:eastAsia="Times" w:cs="Arial"/>
              </w:rPr>
              <w:t>Colette McMaster advised that they are content with the controls in place.</w:t>
            </w:r>
          </w:p>
          <w:p w14:paraId="674F2A59" w14:textId="77777777" w:rsidR="00C352B2" w:rsidRPr="00C352B2" w:rsidRDefault="00C352B2" w:rsidP="005D6E43">
            <w:pPr>
              <w:tabs>
                <w:tab w:val="left" w:pos="6807"/>
              </w:tabs>
              <w:jc w:val="both"/>
              <w:rPr>
                <w:rFonts w:eastAsia="Times" w:cs="Arial"/>
              </w:rPr>
            </w:pPr>
          </w:p>
          <w:p w14:paraId="721C124B" w14:textId="0F80C326" w:rsidR="00C352B2" w:rsidRPr="00FE53AF" w:rsidRDefault="00844E2A" w:rsidP="005D6E43">
            <w:pPr>
              <w:tabs>
                <w:tab w:val="left" w:pos="6807"/>
              </w:tabs>
              <w:jc w:val="both"/>
              <w:rPr>
                <w:rFonts w:eastAsia="Times" w:cs="Arial"/>
                <w:b/>
              </w:rPr>
            </w:pPr>
            <w:r>
              <w:rPr>
                <w:rFonts w:eastAsia="Times" w:cs="Arial"/>
              </w:rPr>
              <w:t>R</w:t>
            </w:r>
            <w:r w:rsidR="00C352B2" w:rsidRPr="00C352B2">
              <w:rPr>
                <w:rFonts w:eastAsia="Times" w:cs="Arial"/>
              </w:rPr>
              <w:t>isk rating</w:t>
            </w:r>
            <w:r>
              <w:rPr>
                <w:rFonts w:eastAsia="Times" w:cs="Arial"/>
              </w:rPr>
              <w:t xml:space="preserve"> remains amber</w:t>
            </w:r>
            <w:r w:rsidR="00C352B2" w:rsidRPr="00C352B2">
              <w:rPr>
                <w:rFonts w:eastAsia="Times" w:cs="Arial"/>
              </w:rPr>
              <w:t>.</w:t>
            </w:r>
          </w:p>
        </w:tc>
        <w:tc>
          <w:tcPr>
            <w:tcW w:w="2463" w:type="dxa"/>
          </w:tcPr>
          <w:p w14:paraId="39F6B64A" w14:textId="77777777" w:rsidR="00C352B2" w:rsidRPr="007B1D80" w:rsidRDefault="00C352B2" w:rsidP="00820DDC">
            <w:pPr>
              <w:rPr>
                <w:rFonts w:eastAsia="Times" w:cs="Arial"/>
                <w:b/>
              </w:rPr>
            </w:pPr>
          </w:p>
        </w:tc>
      </w:tr>
      <w:tr w:rsidR="00F25D8F" w:rsidRPr="00F25D8F" w14:paraId="07EF95FF" w14:textId="77777777" w:rsidTr="00FE53AF">
        <w:tc>
          <w:tcPr>
            <w:tcW w:w="877" w:type="dxa"/>
          </w:tcPr>
          <w:p w14:paraId="41DF34A4" w14:textId="1777BB0A" w:rsidR="00F25D8F" w:rsidRPr="007B1D80" w:rsidRDefault="00F25D8F" w:rsidP="00820DDC">
            <w:pPr>
              <w:rPr>
                <w:rFonts w:eastAsia="Times" w:cs="Arial"/>
                <w:b/>
              </w:rPr>
            </w:pPr>
          </w:p>
        </w:tc>
        <w:tc>
          <w:tcPr>
            <w:tcW w:w="6854" w:type="dxa"/>
          </w:tcPr>
          <w:p w14:paraId="2AF34C8C" w14:textId="62BAC18F" w:rsidR="00E96242" w:rsidRPr="00FE53AF" w:rsidRDefault="00FE53AF" w:rsidP="005D6E43">
            <w:pPr>
              <w:tabs>
                <w:tab w:val="left" w:pos="6807"/>
              </w:tabs>
              <w:jc w:val="both"/>
              <w:rPr>
                <w:rFonts w:eastAsia="Times" w:cs="Arial"/>
                <w:b/>
              </w:rPr>
            </w:pPr>
            <w:r w:rsidRPr="00FE53AF">
              <w:rPr>
                <w:rFonts w:eastAsia="Times" w:cs="Arial"/>
                <w:b/>
              </w:rPr>
              <w:t>Risk 9</w:t>
            </w:r>
          </w:p>
        </w:tc>
        <w:tc>
          <w:tcPr>
            <w:tcW w:w="2463" w:type="dxa"/>
          </w:tcPr>
          <w:p w14:paraId="52CC6FF3" w14:textId="1C1F7956" w:rsidR="00E96242" w:rsidRPr="007B1D80" w:rsidRDefault="00E96242" w:rsidP="00820DDC">
            <w:pPr>
              <w:rPr>
                <w:rFonts w:eastAsia="Times" w:cs="Arial"/>
                <w:b/>
              </w:rPr>
            </w:pPr>
          </w:p>
        </w:tc>
      </w:tr>
      <w:tr w:rsidR="00F25D8F" w:rsidRPr="00F25D8F" w14:paraId="6E4C85D1" w14:textId="77777777" w:rsidTr="00FE53AF">
        <w:tc>
          <w:tcPr>
            <w:tcW w:w="877" w:type="dxa"/>
          </w:tcPr>
          <w:p w14:paraId="55F3765A" w14:textId="5C746D75" w:rsidR="00F25D8F" w:rsidRPr="007B1D80" w:rsidRDefault="00F25D8F" w:rsidP="00407808">
            <w:pPr>
              <w:rPr>
                <w:rFonts w:eastAsia="Times" w:cs="Arial"/>
                <w:b/>
              </w:rPr>
            </w:pPr>
          </w:p>
        </w:tc>
        <w:tc>
          <w:tcPr>
            <w:tcW w:w="6854" w:type="dxa"/>
          </w:tcPr>
          <w:p w14:paraId="1F23BED7" w14:textId="1AD5B07B" w:rsidR="00CB5C8C" w:rsidRDefault="00844E2A" w:rsidP="00A85833">
            <w:pPr>
              <w:jc w:val="both"/>
              <w:rPr>
                <w:rFonts w:eastAsia="Times" w:cs="Arial"/>
              </w:rPr>
            </w:pPr>
            <w:r w:rsidRPr="00844E2A">
              <w:rPr>
                <w:rFonts w:eastAsia="Times" w:cs="Arial"/>
              </w:rPr>
              <w:t>T</w:t>
            </w:r>
            <w:r w:rsidR="00CB5C8C">
              <w:rPr>
                <w:rFonts w:eastAsia="Times" w:cs="Arial"/>
              </w:rPr>
              <w:t>heresa Kearney deputising for T</w:t>
            </w:r>
            <w:r w:rsidRPr="00844E2A">
              <w:rPr>
                <w:rFonts w:eastAsia="Times" w:cs="Arial"/>
              </w:rPr>
              <w:t xml:space="preserve">racey Teague reported that </w:t>
            </w:r>
            <w:r w:rsidR="00CB5C8C">
              <w:rPr>
                <w:rFonts w:eastAsia="Times" w:cs="Arial"/>
              </w:rPr>
              <w:t>it is appropriate that this risk remains amber as they work through the additional actions.</w:t>
            </w:r>
          </w:p>
          <w:p w14:paraId="3ED1E59C" w14:textId="77777777" w:rsidR="00CB5C8C" w:rsidRDefault="00CB5C8C" w:rsidP="00A85833">
            <w:pPr>
              <w:jc w:val="both"/>
              <w:rPr>
                <w:rFonts w:eastAsia="Times" w:cs="Arial"/>
              </w:rPr>
            </w:pPr>
          </w:p>
          <w:p w14:paraId="78103FD6" w14:textId="3854E8D9" w:rsidR="00F25D8F" w:rsidRPr="00FE53AF" w:rsidRDefault="00844E2A" w:rsidP="00A85833">
            <w:pPr>
              <w:jc w:val="both"/>
              <w:rPr>
                <w:rFonts w:eastAsia="Times" w:cs="Arial"/>
                <w:b/>
              </w:rPr>
            </w:pPr>
            <w:r w:rsidRPr="00844E2A">
              <w:rPr>
                <w:rFonts w:eastAsia="Times" w:cs="Arial"/>
              </w:rPr>
              <w:t>Amber rating appropriate for now.</w:t>
            </w:r>
          </w:p>
        </w:tc>
        <w:tc>
          <w:tcPr>
            <w:tcW w:w="2463" w:type="dxa"/>
          </w:tcPr>
          <w:p w14:paraId="226DEDE7" w14:textId="77777777" w:rsidR="00F25D8F" w:rsidRPr="00F25D8F" w:rsidRDefault="00F25D8F" w:rsidP="00820DDC">
            <w:pPr>
              <w:rPr>
                <w:rFonts w:eastAsia="Times" w:cs="Arial"/>
              </w:rPr>
            </w:pPr>
          </w:p>
        </w:tc>
      </w:tr>
      <w:tr w:rsidR="00F25D8F" w:rsidRPr="00F25D8F" w14:paraId="674EB305" w14:textId="77777777" w:rsidTr="00FE53AF">
        <w:tc>
          <w:tcPr>
            <w:tcW w:w="877" w:type="dxa"/>
          </w:tcPr>
          <w:p w14:paraId="600F21A7" w14:textId="395CF93A" w:rsidR="00F25D8F" w:rsidRPr="007B1D80" w:rsidRDefault="00F25D8F" w:rsidP="00820DDC">
            <w:pPr>
              <w:rPr>
                <w:rFonts w:eastAsia="Times" w:cs="Arial"/>
                <w:b/>
              </w:rPr>
            </w:pPr>
          </w:p>
        </w:tc>
        <w:tc>
          <w:tcPr>
            <w:tcW w:w="6854" w:type="dxa"/>
          </w:tcPr>
          <w:p w14:paraId="3F8AF82F" w14:textId="31A065C3" w:rsidR="009F304A" w:rsidRPr="00FE53AF" w:rsidRDefault="00FE53AF" w:rsidP="00A85833">
            <w:pPr>
              <w:jc w:val="both"/>
              <w:rPr>
                <w:rFonts w:eastAsia="Times" w:cs="Arial"/>
                <w:b/>
              </w:rPr>
            </w:pPr>
            <w:r w:rsidRPr="00FE53AF">
              <w:rPr>
                <w:rFonts w:eastAsia="Times" w:cs="Arial"/>
                <w:b/>
              </w:rPr>
              <w:t>Risk 10</w:t>
            </w:r>
          </w:p>
        </w:tc>
        <w:tc>
          <w:tcPr>
            <w:tcW w:w="2463" w:type="dxa"/>
          </w:tcPr>
          <w:p w14:paraId="515FE7DC" w14:textId="7997FEA3" w:rsidR="00B456E8" w:rsidRPr="00F25D8F" w:rsidRDefault="00B456E8" w:rsidP="00820DDC">
            <w:pPr>
              <w:rPr>
                <w:rFonts w:eastAsia="Times" w:cs="Arial"/>
              </w:rPr>
            </w:pPr>
          </w:p>
        </w:tc>
      </w:tr>
      <w:tr w:rsidR="00E96242" w:rsidRPr="00E96242" w14:paraId="47252D28" w14:textId="77777777" w:rsidTr="00FE53AF">
        <w:tc>
          <w:tcPr>
            <w:tcW w:w="877" w:type="dxa"/>
          </w:tcPr>
          <w:p w14:paraId="0914BF28" w14:textId="526B1655" w:rsidR="00190B71" w:rsidRPr="007B1D80" w:rsidRDefault="00190B71" w:rsidP="00820DDC">
            <w:pPr>
              <w:rPr>
                <w:rFonts w:eastAsia="Times" w:cs="Arial"/>
                <w:b/>
              </w:rPr>
            </w:pPr>
          </w:p>
        </w:tc>
        <w:tc>
          <w:tcPr>
            <w:tcW w:w="6854" w:type="dxa"/>
          </w:tcPr>
          <w:p w14:paraId="7BF6154E" w14:textId="297ADCA6" w:rsidR="000370F9" w:rsidRPr="000370F9" w:rsidRDefault="00FD33DD" w:rsidP="00A85833">
            <w:pPr>
              <w:jc w:val="both"/>
              <w:rPr>
                <w:rFonts w:eastAsia="Times" w:cs="Arial"/>
              </w:rPr>
            </w:pPr>
            <w:r>
              <w:rPr>
                <w:rFonts w:eastAsia="Times" w:cs="Arial"/>
              </w:rPr>
              <w:t>Jackie Robinson reported that they have a good programme management structure in place.</w:t>
            </w:r>
            <w:r w:rsidR="002F0DD7">
              <w:rPr>
                <w:rFonts w:eastAsia="Times" w:cs="Arial"/>
              </w:rPr>
              <w:t xml:space="preserve"> </w:t>
            </w:r>
            <w:r w:rsidR="000370F9" w:rsidRPr="000370F9">
              <w:rPr>
                <w:rFonts w:eastAsia="Times" w:cs="Arial"/>
              </w:rPr>
              <w:t>Michael Hatch reported that the number of incidence are going down but new measures have led to increase in cost around reactors. Long term this should lead to a reduction</w:t>
            </w:r>
            <w:r>
              <w:rPr>
                <w:rFonts w:eastAsia="Times" w:cs="Arial"/>
              </w:rPr>
              <w:t xml:space="preserve"> in programme spend</w:t>
            </w:r>
            <w:r w:rsidR="000370F9">
              <w:rPr>
                <w:rFonts w:eastAsia="Times" w:cs="Arial"/>
              </w:rPr>
              <w:t>.</w:t>
            </w:r>
          </w:p>
        </w:tc>
        <w:tc>
          <w:tcPr>
            <w:tcW w:w="2463" w:type="dxa"/>
          </w:tcPr>
          <w:p w14:paraId="2A9C3EE2" w14:textId="77777777" w:rsidR="00190B71" w:rsidRPr="00E96242" w:rsidRDefault="00190B71" w:rsidP="00820DDC">
            <w:pPr>
              <w:rPr>
                <w:rFonts w:eastAsia="Times" w:cs="Arial"/>
              </w:rPr>
            </w:pPr>
          </w:p>
        </w:tc>
      </w:tr>
      <w:tr w:rsidR="00CB5C8C" w:rsidRPr="00F25D8F" w14:paraId="32408B1E" w14:textId="77777777" w:rsidTr="00DF3B24">
        <w:tc>
          <w:tcPr>
            <w:tcW w:w="877" w:type="dxa"/>
          </w:tcPr>
          <w:p w14:paraId="7C7269E4" w14:textId="77777777" w:rsidR="00CB5C8C" w:rsidRPr="007B1D80" w:rsidRDefault="00CB5C8C" w:rsidP="00DF3B24">
            <w:pPr>
              <w:rPr>
                <w:rFonts w:eastAsia="Times" w:cs="Arial"/>
                <w:b/>
              </w:rPr>
            </w:pPr>
          </w:p>
        </w:tc>
        <w:tc>
          <w:tcPr>
            <w:tcW w:w="6854" w:type="dxa"/>
          </w:tcPr>
          <w:p w14:paraId="4C555C65" w14:textId="600F8CA8" w:rsidR="00CB5C8C" w:rsidRPr="00FE53AF" w:rsidRDefault="00CB5C8C" w:rsidP="00CB5C8C">
            <w:pPr>
              <w:jc w:val="both"/>
              <w:rPr>
                <w:rFonts w:eastAsia="Times" w:cs="Arial"/>
                <w:b/>
              </w:rPr>
            </w:pPr>
            <w:r w:rsidRPr="00FE53AF">
              <w:rPr>
                <w:rFonts w:eastAsia="Times" w:cs="Arial"/>
                <w:b/>
              </w:rPr>
              <w:t>Risk 1</w:t>
            </w:r>
            <w:r>
              <w:rPr>
                <w:rFonts w:eastAsia="Times" w:cs="Arial"/>
                <w:b/>
              </w:rPr>
              <w:t>1</w:t>
            </w:r>
          </w:p>
        </w:tc>
        <w:tc>
          <w:tcPr>
            <w:tcW w:w="2463" w:type="dxa"/>
          </w:tcPr>
          <w:p w14:paraId="01C65F3E" w14:textId="77777777" w:rsidR="00CB5C8C" w:rsidRPr="00F25D8F" w:rsidRDefault="00CB5C8C" w:rsidP="00DF3B24">
            <w:pPr>
              <w:rPr>
                <w:rFonts w:eastAsia="Times" w:cs="Arial"/>
              </w:rPr>
            </w:pPr>
          </w:p>
        </w:tc>
      </w:tr>
      <w:tr w:rsidR="00CB5C8C" w:rsidRPr="00E96242" w14:paraId="782A0ED0" w14:textId="77777777" w:rsidTr="00DF3B24">
        <w:tc>
          <w:tcPr>
            <w:tcW w:w="877" w:type="dxa"/>
          </w:tcPr>
          <w:p w14:paraId="7125BD36" w14:textId="77777777" w:rsidR="00CB5C8C" w:rsidRPr="007B1D80" w:rsidRDefault="00CB5C8C" w:rsidP="00DF3B24">
            <w:pPr>
              <w:rPr>
                <w:rFonts w:eastAsia="Times" w:cs="Arial"/>
                <w:b/>
              </w:rPr>
            </w:pPr>
          </w:p>
        </w:tc>
        <w:tc>
          <w:tcPr>
            <w:tcW w:w="6854" w:type="dxa"/>
          </w:tcPr>
          <w:p w14:paraId="73350073" w14:textId="77777777" w:rsidR="005241A3" w:rsidRDefault="00CB5C8C" w:rsidP="00DF3B24">
            <w:pPr>
              <w:jc w:val="both"/>
              <w:rPr>
                <w:rFonts w:eastAsia="Times" w:cs="Arial"/>
              </w:rPr>
            </w:pPr>
            <w:r>
              <w:rPr>
                <w:rFonts w:eastAsia="Times" w:cs="Arial"/>
              </w:rPr>
              <w:t xml:space="preserve">David Torrens reported that </w:t>
            </w:r>
            <w:r w:rsidR="005241A3">
              <w:rPr>
                <w:rFonts w:eastAsia="Times" w:cs="Arial"/>
              </w:rPr>
              <w:t xml:space="preserve">on the short term risk </w:t>
            </w:r>
            <w:r>
              <w:rPr>
                <w:rFonts w:eastAsia="Times" w:cs="Arial"/>
              </w:rPr>
              <w:t>some supplier issues still remain. They may have to go down the r</w:t>
            </w:r>
            <w:r w:rsidR="005241A3">
              <w:rPr>
                <w:rFonts w:eastAsia="Times" w:cs="Arial"/>
              </w:rPr>
              <w:t>oute of an alternative supplier.</w:t>
            </w:r>
          </w:p>
          <w:p w14:paraId="046AE1F1" w14:textId="77777777" w:rsidR="005241A3" w:rsidRDefault="005241A3" w:rsidP="00DF3B24">
            <w:pPr>
              <w:jc w:val="both"/>
              <w:rPr>
                <w:rFonts w:eastAsia="Times" w:cs="Arial"/>
              </w:rPr>
            </w:pPr>
          </w:p>
          <w:p w14:paraId="4DCB8BAA" w14:textId="77777777" w:rsidR="005241A3" w:rsidRDefault="005241A3" w:rsidP="00DF3B24">
            <w:pPr>
              <w:jc w:val="both"/>
              <w:rPr>
                <w:rFonts w:eastAsia="Times" w:cs="Arial"/>
              </w:rPr>
            </w:pPr>
            <w:r>
              <w:rPr>
                <w:rFonts w:eastAsia="Times" w:cs="Arial"/>
              </w:rPr>
              <w:t>On the long term risk they have had reassurance that the agreement is robust.</w:t>
            </w:r>
          </w:p>
          <w:p w14:paraId="3AA568AA" w14:textId="77777777" w:rsidR="005241A3" w:rsidRDefault="005241A3" w:rsidP="00DF3B24">
            <w:pPr>
              <w:jc w:val="both"/>
              <w:rPr>
                <w:rFonts w:eastAsia="Times" w:cs="Arial"/>
              </w:rPr>
            </w:pPr>
          </w:p>
          <w:p w14:paraId="4FD8C41E" w14:textId="7A50DA3B" w:rsidR="00CB5C8C" w:rsidRPr="000370F9" w:rsidRDefault="005241A3" w:rsidP="005241A3">
            <w:pPr>
              <w:jc w:val="both"/>
              <w:rPr>
                <w:rFonts w:eastAsia="Times" w:cs="Arial"/>
              </w:rPr>
            </w:pPr>
            <w:r>
              <w:rPr>
                <w:rFonts w:eastAsia="Times" w:cs="Arial"/>
              </w:rPr>
              <w:t>Risk ratings for both short term and long term risks remain red and green respectively.</w:t>
            </w:r>
          </w:p>
        </w:tc>
        <w:tc>
          <w:tcPr>
            <w:tcW w:w="2463" w:type="dxa"/>
          </w:tcPr>
          <w:p w14:paraId="49E88458" w14:textId="77777777" w:rsidR="00CB5C8C" w:rsidRPr="00E96242" w:rsidRDefault="00CB5C8C" w:rsidP="00DF3B24">
            <w:pPr>
              <w:rPr>
                <w:rFonts w:eastAsia="Times" w:cs="Arial"/>
              </w:rPr>
            </w:pPr>
          </w:p>
        </w:tc>
      </w:tr>
    </w:tbl>
    <w:p w14:paraId="02168D64" w14:textId="14B9E57B" w:rsidR="0043282A" w:rsidRPr="00921FF1" w:rsidRDefault="0043282A" w:rsidP="00FC0AB1">
      <w:pPr>
        <w:rPr>
          <w:rFonts w:cs="Arial"/>
        </w:rPr>
      </w:pPr>
    </w:p>
    <w:p w14:paraId="354D0D1B" w14:textId="77777777" w:rsidR="008D5A80" w:rsidRDefault="008D5A80" w:rsidP="008D5A80">
      <w:pPr>
        <w:rPr>
          <w:rFonts w:cs="Arial"/>
          <w:b/>
        </w:rPr>
      </w:pPr>
    </w:p>
    <w:p w14:paraId="3EE78DAA" w14:textId="4ADC0CAE" w:rsidR="005241A3" w:rsidRPr="005241A3" w:rsidRDefault="00451CBF" w:rsidP="005241A3">
      <w:pPr>
        <w:jc w:val="both"/>
        <w:rPr>
          <w:rFonts w:cs="Arial"/>
          <w:b/>
        </w:rPr>
      </w:pPr>
      <w:r>
        <w:rPr>
          <w:rFonts w:cs="Arial"/>
          <w:b/>
        </w:rPr>
        <w:t>2.</w:t>
      </w:r>
      <w:r>
        <w:rPr>
          <w:rFonts w:cs="Arial"/>
          <w:b/>
        </w:rPr>
        <w:tab/>
      </w:r>
      <w:r w:rsidR="005241A3" w:rsidRPr="005241A3">
        <w:rPr>
          <w:rFonts w:cs="Arial"/>
          <w:b/>
        </w:rPr>
        <w:t>Paying Agency Accreditation Committee (PAAC) Risk Register</w:t>
      </w:r>
    </w:p>
    <w:p w14:paraId="341A2D23" w14:textId="77777777" w:rsidR="005241A3" w:rsidRDefault="005241A3" w:rsidP="005241A3">
      <w:pPr>
        <w:jc w:val="both"/>
        <w:rPr>
          <w:rFonts w:cs="Arial"/>
        </w:rPr>
      </w:pPr>
    </w:p>
    <w:p w14:paraId="3202E1B0" w14:textId="0ED513A9" w:rsidR="005241A3" w:rsidRPr="005241A3" w:rsidRDefault="005241A3" w:rsidP="005241A3">
      <w:pPr>
        <w:jc w:val="both"/>
        <w:rPr>
          <w:rFonts w:cs="Arial"/>
        </w:rPr>
      </w:pPr>
      <w:r w:rsidRPr="005241A3">
        <w:rPr>
          <w:rFonts w:cs="Arial"/>
        </w:rPr>
        <w:t xml:space="preserve">Anna Campbell provided an update on the PAAC Risk Register and reported that Brian Doherty was the new Head of the Paying Agency and confirmed that thee PAAC Risk Register has now been aligned with the DAERA Corporate Risk Register. </w:t>
      </w:r>
    </w:p>
    <w:p w14:paraId="3398ED1D" w14:textId="77777777" w:rsidR="005241A3" w:rsidRDefault="005241A3" w:rsidP="005241A3">
      <w:pPr>
        <w:jc w:val="both"/>
        <w:rPr>
          <w:rFonts w:cs="Arial"/>
        </w:rPr>
      </w:pPr>
    </w:p>
    <w:p w14:paraId="76FFCFEC" w14:textId="77777777" w:rsidR="005241A3" w:rsidRDefault="005241A3" w:rsidP="005241A3">
      <w:pPr>
        <w:jc w:val="both"/>
        <w:rPr>
          <w:rFonts w:cs="Arial"/>
        </w:rPr>
      </w:pPr>
      <w:r>
        <w:rPr>
          <w:rFonts w:cs="Arial"/>
        </w:rPr>
        <w:t xml:space="preserve">Anna reported that there are currently </w:t>
      </w:r>
      <w:r w:rsidRPr="005241A3">
        <w:rPr>
          <w:rFonts w:cs="Arial"/>
        </w:rPr>
        <w:t xml:space="preserve">8 </w:t>
      </w:r>
      <w:r>
        <w:rPr>
          <w:rFonts w:cs="Arial"/>
        </w:rPr>
        <w:t>recorded key risks in the PAAC Risk Register and the risks were summarised as follows:</w:t>
      </w:r>
    </w:p>
    <w:p w14:paraId="6331F078" w14:textId="77777777" w:rsidR="005241A3" w:rsidRDefault="005241A3" w:rsidP="005241A3">
      <w:pPr>
        <w:jc w:val="both"/>
        <w:rPr>
          <w:rFonts w:cs="Arial"/>
        </w:rPr>
      </w:pPr>
    </w:p>
    <w:tbl>
      <w:tblPr>
        <w:tblStyle w:val="TableGrid"/>
        <w:tblW w:w="0" w:type="auto"/>
        <w:tblLook w:val="04A0" w:firstRow="1" w:lastRow="0" w:firstColumn="1" w:lastColumn="0" w:noHBand="0" w:noVBand="1"/>
      </w:tblPr>
      <w:tblGrid>
        <w:gridCol w:w="1271"/>
        <w:gridCol w:w="5525"/>
        <w:gridCol w:w="3398"/>
      </w:tblGrid>
      <w:tr w:rsidR="005241A3" w:rsidRPr="005241A3" w14:paraId="03C9788F" w14:textId="77777777" w:rsidTr="005241A3">
        <w:tc>
          <w:tcPr>
            <w:tcW w:w="1271" w:type="dxa"/>
          </w:tcPr>
          <w:p w14:paraId="2C52BF85" w14:textId="255F6033" w:rsidR="005241A3" w:rsidRPr="005241A3" w:rsidRDefault="005241A3" w:rsidP="005241A3">
            <w:pPr>
              <w:jc w:val="both"/>
              <w:rPr>
                <w:rFonts w:cs="Arial"/>
                <w:b/>
              </w:rPr>
            </w:pPr>
            <w:r w:rsidRPr="005241A3">
              <w:rPr>
                <w:rFonts w:cs="Arial"/>
                <w:b/>
              </w:rPr>
              <w:t>Key Risk</w:t>
            </w:r>
          </w:p>
        </w:tc>
        <w:tc>
          <w:tcPr>
            <w:tcW w:w="5525" w:type="dxa"/>
          </w:tcPr>
          <w:p w14:paraId="7D8A20BD" w14:textId="0662773D" w:rsidR="005241A3" w:rsidRPr="005241A3" w:rsidRDefault="005241A3" w:rsidP="005241A3">
            <w:pPr>
              <w:jc w:val="both"/>
              <w:rPr>
                <w:rFonts w:cs="Arial"/>
                <w:b/>
              </w:rPr>
            </w:pPr>
            <w:r w:rsidRPr="005241A3">
              <w:rPr>
                <w:rFonts w:cs="Arial"/>
                <w:b/>
              </w:rPr>
              <w:t>Risk</w:t>
            </w:r>
          </w:p>
        </w:tc>
        <w:tc>
          <w:tcPr>
            <w:tcW w:w="3398" w:type="dxa"/>
          </w:tcPr>
          <w:p w14:paraId="3716E12E" w14:textId="7D05ABE9" w:rsidR="005241A3" w:rsidRPr="005241A3" w:rsidRDefault="005241A3" w:rsidP="005241A3">
            <w:pPr>
              <w:jc w:val="both"/>
              <w:rPr>
                <w:rFonts w:cs="Arial"/>
                <w:b/>
              </w:rPr>
            </w:pPr>
            <w:r w:rsidRPr="005241A3">
              <w:rPr>
                <w:rFonts w:cs="Arial"/>
                <w:b/>
              </w:rPr>
              <w:t>Risk Rating</w:t>
            </w:r>
          </w:p>
        </w:tc>
      </w:tr>
      <w:tr w:rsidR="005241A3" w14:paraId="42F3902F" w14:textId="05A79499" w:rsidTr="005241A3">
        <w:tc>
          <w:tcPr>
            <w:tcW w:w="1271" w:type="dxa"/>
          </w:tcPr>
          <w:p w14:paraId="20662142" w14:textId="7F49DBB8" w:rsidR="005241A3" w:rsidRDefault="005241A3" w:rsidP="005241A3">
            <w:pPr>
              <w:jc w:val="both"/>
              <w:rPr>
                <w:rFonts w:cs="Arial"/>
              </w:rPr>
            </w:pPr>
            <w:r>
              <w:rPr>
                <w:rFonts w:cs="Arial"/>
              </w:rPr>
              <w:t>1</w:t>
            </w:r>
          </w:p>
        </w:tc>
        <w:tc>
          <w:tcPr>
            <w:tcW w:w="5525" w:type="dxa"/>
          </w:tcPr>
          <w:p w14:paraId="091698E0" w14:textId="02A815F1" w:rsidR="005241A3" w:rsidRDefault="005241A3" w:rsidP="005241A3">
            <w:pPr>
              <w:jc w:val="both"/>
              <w:rPr>
                <w:rFonts w:cs="Arial"/>
              </w:rPr>
            </w:pPr>
            <w:r>
              <w:rPr>
                <w:rFonts w:cs="Arial"/>
                <w:color w:val="000000"/>
              </w:rPr>
              <w:t>That weaknesses are identified by auditors in DAERA key and ancillary controls in respect of IACS Measures.</w:t>
            </w:r>
          </w:p>
        </w:tc>
        <w:tc>
          <w:tcPr>
            <w:tcW w:w="3398" w:type="dxa"/>
          </w:tcPr>
          <w:p w14:paraId="08FC69DB" w14:textId="11D06464" w:rsidR="005241A3" w:rsidRDefault="005241A3" w:rsidP="005241A3">
            <w:pPr>
              <w:jc w:val="both"/>
              <w:rPr>
                <w:rFonts w:cs="Arial"/>
              </w:rPr>
            </w:pPr>
            <w:r>
              <w:rPr>
                <w:rFonts w:cs="Arial"/>
              </w:rPr>
              <w:t>Medium</w:t>
            </w:r>
          </w:p>
        </w:tc>
      </w:tr>
      <w:tr w:rsidR="005241A3" w14:paraId="510FD02C" w14:textId="5675B9D8" w:rsidTr="005241A3">
        <w:tc>
          <w:tcPr>
            <w:tcW w:w="1271" w:type="dxa"/>
          </w:tcPr>
          <w:p w14:paraId="14EF2781" w14:textId="4F7F2EEF" w:rsidR="005241A3" w:rsidRDefault="005241A3" w:rsidP="005241A3">
            <w:pPr>
              <w:jc w:val="both"/>
              <w:rPr>
                <w:rFonts w:cs="Arial"/>
              </w:rPr>
            </w:pPr>
            <w:r>
              <w:rPr>
                <w:rFonts w:cs="Arial"/>
              </w:rPr>
              <w:t>5</w:t>
            </w:r>
          </w:p>
        </w:tc>
        <w:tc>
          <w:tcPr>
            <w:tcW w:w="5525" w:type="dxa"/>
          </w:tcPr>
          <w:p w14:paraId="35CB3DD4" w14:textId="569147AF" w:rsidR="005241A3" w:rsidRDefault="00451CBF" w:rsidP="005241A3">
            <w:pPr>
              <w:jc w:val="both"/>
              <w:rPr>
                <w:rFonts w:cs="Arial"/>
              </w:rPr>
            </w:pPr>
            <w:r>
              <w:rPr>
                <w:rFonts w:cs="Arial"/>
                <w:color w:val="000000"/>
              </w:rPr>
              <w:t xml:space="preserve">Insufficient IT capacity / capability to </w:t>
            </w:r>
            <w:r>
              <w:rPr>
                <w:rFonts w:cs="Arial"/>
              </w:rPr>
              <w:t>support the CAP Reform Programme.</w:t>
            </w:r>
          </w:p>
        </w:tc>
        <w:tc>
          <w:tcPr>
            <w:tcW w:w="3398" w:type="dxa"/>
          </w:tcPr>
          <w:p w14:paraId="7D6771A6" w14:textId="78F54AA8" w:rsidR="005241A3" w:rsidRDefault="00451CBF" w:rsidP="005241A3">
            <w:pPr>
              <w:jc w:val="both"/>
              <w:rPr>
                <w:rFonts w:cs="Arial"/>
              </w:rPr>
            </w:pPr>
            <w:r>
              <w:rPr>
                <w:rFonts w:cs="Arial"/>
              </w:rPr>
              <w:t>Medium</w:t>
            </w:r>
          </w:p>
        </w:tc>
      </w:tr>
      <w:tr w:rsidR="005241A3" w14:paraId="2B370163" w14:textId="047FF9E0" w:rsidTr="005241A3">
        <w:tc>
          <w:tcPr>
            <w:tcW w:w="1271" w:type="dxa"/>
          </w:tcPr>
          <w:p w14:paraId="66B1FFE0" w14:textId="5D3861DC" w:rsidR="005241A3" w:rsidRDefault="005241A3" w:rsidP="005241A3">
            <w:pPr>
              <w:jc w:val="both"/>
              <w:rPr>
                <w:rFonts w:cs="Arial"/>
              </w:rPr>
            </w:pPr>
            <w:r>
              <w:rPr>
                <w:rFonts w:cs="Arial"/>
              </w:rPr>
              <w:t>10</w:t>
            </w:r>
          </w:p>
        </w:tc>
        <w:tc>
          <w:tcPr>
            <w:tcW w:w="5525" w:type="dxa"/>
          </w:tcPr>
          <w:p w14:paraId="55B210B0" w14:textId="1B65E777" w:rsidR="005241A3" w:rsidRDefault="00451CBF" w:rsidP="00451CBF">
            <w:pPr>
              <w:jc w:val="both"/>
              <w:rPr>
                <w:rFonts w:cs="Arial"/>
              </w:rPr>
            </w:pPr>
            <w:r>
              <w:rPr>
                <w:rFonts w:cs="Arial"/>
              </w:rPr>
              <w:t>Relocation - Failure to have experienced staff in place to meet Paying Agency requirements.</w:t>
            </w:r>
          </w:p>
        </w:tc>
        <w:tc>
          <w:tcPr>
            <w:tcW w:w="3398" w:type="dxa"/>
          </w:tcPr>
          <w:p w14:paraId="3CA1B08F" w14:textId="1F124821" w:rsidR="005241A3" w:rsidRDefault="00451CBF" w:rsidP="005241A3">
            <w:pPr>
              <w:jc w:val="both"/>
              <w:rPr>
                <w:rFonts w:cs="Arial"/>
              </w:rPr>
            </w:pPr>
            <w:r>
              <w:rPr>
                <w:rFonts w:cs="Arial"/>
              </w:rPr>
              <w:t>High</w:t>
            </w:r>
          </w:p>
        </w:tc>
      </w:tr>
      <w:tr w:rsidR="005241A3" w14:paraId="1F85CDDB" w14:textId="21FF41E8" w:rsidTr="005241A3">
        <w:tc>
          <w:tcPr>
            <w:tcW w:w="1271" w:type="dxa"/>
          </w:tcPr>
          <w:p w14:paraId="783CF772" w14:textId="570F295C" w:rsidR="005241A3" w:rsidRDefault="005241A3" w:rsidP="005241A3">
            <w:pPr>
              <w:jc w:val="both"/>
              <w:rPr>
                <w:rFonts w:cs="Arial"/>
              </w:rPr>
            </w:pPr>
            <w:r>
              <w:rPr>
                <w:rFonts w:cs="Arial"/>
              </w:rPr>
              <w:lastRenderedPageBreak/>
              <w:t>11</w:t>
            </w:r>
          </w:p>
        </w:tc>
        <w:tc>
          <w:tcPr>
            <w:tcW w:w="5525" w:type="dxa"/>
          </w:tcPr>
          <w:p w14:paraId="55EDD15D" w14:textId="77A83E76" w:rsidR="005241A3" w:rsidRDefault="00451CBF" w:rsidP="005241A3">
            <w:pPr>
              <w:jc w:val="both"/>
              <w:rPr>
                <w:rFonts w:cs="Arial"/>
              </w:rPr>
            </w:pPr>
            <w:r w:rsidRPr="00451CBF">
              <w:rPr>
                <w:rFonts w:eastAsia="Times New Roman" w:cs="Arial"/>
              </w:rPr>
              <w:t xml:space="preserve">The risk relates to the reporting of DAERA error rates which in some cases exceed the 2% materiality threshold.  </w:t>
            </w:r>
          </w:p>
        </w:tc>
        <w:tc>
          <w:tcPr>
            <w:tcW w:w="3398" w:type="dxa"/>
          </w:tcPr>
          <w:p w14:paraId="58902098" w14:textId="6F2D385A" w:rsidR="005241A3" w:rsidRDefault="00451CBF" w:rsidP="005241A3">
            <w:pPr>
              <w:jc w:val="both"/>
              <w:rPr>
                <w:rFonts w:cs="Arial"/>
              </w:rPr>
            </w:pPr>
            <w:r>
              <w:rPr>
                <w:rFonts w:cs="Arial"/>
              </w:rPr>
              <w:t>Medium</w:t>
            </w:r>
          </w:p>
        </w:tc>
      </w:tr>
      <w:tr w:rsidR="005241A3" w14:paraId="6EBFEBA8" w14:textId="2C3F53B7" w:rsidTr="005241A3">
        <w:tc>
          <w:tcPr>
            <w:tcW w:w="1271" w:type="dxa"/>
          </w:tcPr>
          <w:p w14:paraId="6B3701B4" w14:textId="7BB29299" w:rsidR="005241A3" w:rsidRDefault="005241A3" w:rsidP="005241A3">
            <w:pPr>
              <w:jc w:val="both"/>
              <w:rPr>
                <w:rFonts w:cs="Arial"/>
              </w:rPr>
            </w:pPr>
            <w:r>
              <w:rPr>
                <w:rFonts w:cs="Arial"/>
              </w:rPr>
              <w:t>16</w:t>
            </w:r>
          </w:p>
        </w:tc>
        <w:tc>
          <w:tcPr>
            <w:tcW w:w="5525" w:type="dxa"/>
          </w:tcPr>
          <w:p w14:paraId="38494A9B" w14:textId="3974EACD" w:rsidR="005241A3" w:rsidRDefault="00451CBF" w:rsidP="005241A3">
            <w:pPr>
              <w:jc w:val="both"/>
              <w:rPr>
                <w:rFonts w:cs="Arial"/>
              </w:rPr>
            </w:pPr>
            <w:r>
              <w:rPr>
                <w:rFonts w:cs="Arial"/>
              </w:rPr>
              <w:t>NI Cross-Compliance Audit in 2015 specifically (i) sheep and goat tagging (ii) Early Warning System (Human Error Approach – HEA).</w:t>
            </w:r>
          </w:p>
        </w:tc>
        <w:tc>
          <w:tcPr>
            <w:tcW w:w="3398" w:type="dxa"/>
          </w:tcPr>
          <w:p w14:paraId="147B6DEC" w14:textId="69CAF617" w:rsidR="005241A3" w:rsidRDefault="00451CBF" w:rsidP="005241A3">
            <w:pPr>
              <w:jc w:val="both"/>
              <w:rPr>
                <w:rFonts w:cs="Arial"/>
              </w:rPr>
            </w:pPr>
            <w:r>
              <w:rPr>
                <w:rFonts w:cs="Arial"/>
              </w:rPr>
              <w:t>Low</w:t>
            </w:r>
          </w:p>
        </w:tc>
      </w:tr>
      <w:tr w:rsidR="005241A3" w14:paraId="53D69DB2" w14:textId="5E34B36D" w:rsidTr="005241A3">
        <w:tc>
          <w:tcPr>
            <w:tcW w:w="1271" w:type="dxa"/>
          </w:tcPr>
          <w:p w14:paraId="53C07395" w14:textId="0CAEF22B" w:rsidR="005241A3" w:rsidRDefault="005241A3" w:rsidP="005241A3">
            <w:pPr>
              <w:jc w:val="both"/>
              <w:rPr>
                <w:rFonts w:cs="Arial"/>
              </w:rPr>
            </w:pPr>
            <w:r>
              <w:rPr>
                <w:rFonts w:cs="Arial"/>
              </w:rPr>
              <w:t>17</w:t>
            </w:r>
          </w:p>
        </w:tc>
        <w:tc>
          <w:tcPr>
            <w:tcW w:w="5525" w:type="dxa"/>
          </w:tcPr>
          <w:p w14:paraId="191EF62B" w14:textId="1B4BC8DF" w:rsidR="005241A3" w:rsidRDefault="00451CBF" w:rsidP="00451CBF">
            <w:pPr>
              <w:jc w:val="both"/>
              <w:rPr>
                <w:rFonts w:cs="Arial"/>
              </w:rPr>
            </w:pPr>
            <w:r>
              <w:rPr>
                <w:rFonts w:cs="Arial"/>
              </w:rPr>
              <w:t>Potential financial and reputational damage for DAERA arising from difficulties in the management and control of LFA debts.</w:t>
            </w:r>
          </w:p>
        </w:tc>
        <w:tc>
          <w:tcPr>
            <w:tcW w:w="3398" w:type="dxa"/>
          </w:tcPr>
          <w:p w14:paraId="26D43B62" w14:textId="78A634FD" w:rsidR="005241A3" w:rsidRDefault="00451CBF" w:rsidP="005241A3">
            <w:pPr>
              <w:jc w:val="both"/>
              <w:rPr>
                <w:rFonts w:cs="Arial"/>
              </w:rPr>
            </w:pPr>
            <w:r>
              <w:rPr>
                <w:rFonts w:cs="Arial"/>
              </w:rPr>
              <w:t>Low</w:t>
            </w:r>
          </w:p>
        </w:tc>
      </w:tr>
      <w:tr w:rsidR="005241A3" w14:paraId="5C378B12" w14:textId="36F6EFD3" w:rsidTr="005241A3">
        <w:tc>
          <w:tcPr>
            <w:tcW w:w="1271" w:type="dxa"/>
          </w:tcPr>
          <w:p w14:paraId="6B6C99D7" w14:textId="2E8D1564" w:rsidR="005241A3" w:rsidRDefault="005241A3" w:rsidP="005241A3">
            <w:pPr>
              <w:jc w:val="both"/>
              <w:rPr>
                <w:rFonts w:cs="Arial"/>
              </w:rPr>
            </w:pPr>
            <w:r>
              <w:rPr>
                <w:rFonts w:cs="Arial"/>
              </w:rPr>
              <w:t>18</w:t>
            </w:r>
          </w:p>
        </w:tc>
        <w:tc>
          <w:tcPr>
            <w:tcW w:w="5525" w:type="dxa"/>
          </w:tcPr>
          <w:p w14:paraId="4056C7B0" w14:textId="331A74EC" w:rsidR="005241A3" w:rsidRDefault="00451CBF" w:rsidP="00451CBF">
            <w:pPr>
              <w:jc w:val="both"/>
              <w:rPr>
                <w:rFonts w:cs="Arial"/>
              </w:rPr>
            </w:pPr>
            <w:r>
              <w:rPr>
                <w:rFonts w:cs="Arial"/>
              </w:rPr>
              <w:t>Failure to ensure NIRDP Measures are compliant with State aid rules.</w:t>
            </w:r>
          </w:p>
        </w:tc>
        <w:tc>
          <w:tcPr>
            <w:tcW w:w="3398" w:type="dxa"/>
          </w:tcPr>
          <w:p w14:paraId="3A5B4799" w14:textId="475215C8" w:rsidR="005241A3" w:rsidRDefault="00451CBF" w:rsidP="005241A3">
            <w:pPr>
              <w:jc w:val="both"/>
              <w:rPr>
                <w:rFonts w:cs="Arial"/>
              </w:rPr>
            </w:pPr>
            <w:r>
              <w:rPr>
                <w:rFonts w:cs="Arial"/>
              </w:rPr>
              <w:t>To be Updated</w:t>
            </w:r>
          </w:p>
        </w:tc>
      </w:tr>
      <w:tr w:rsidR="005241A3" w14:paraId="5C0D9C85" w14:textId="5AD6792B" w:rsidTr="005241A3">
        <w:tc>
          <w:tcPr>
            <w:tcW w:w="1271" w:type="dxa"/>
          </w:tcPr>
          <w:p w14:paraId="59DF0D1A" w14:textId="757A78E3" w:rsidR="005241A3" w:rsidRDefault="005241A3" w:rsidP="005241A3">
            <w:pPr>
              <w:jc w:val="both"/>
              <w:rPr>
                <w:rFonts w:cs="Arial"/>
              </w:rPr>
            </w:pPr>
            <w:r>
              <w:rPr>
                <w:rFonts w:cs="Arial"/>
              </w:rPr>
              <w:t>19</w:t>
            </w:r>
          </w:p>
        </w:tc>
        <w:tc>
          <w:tcPr>
            <w:tcW w:w="5525" w:type="dxa"/>
          </w:tcPr>
          <w:p w14:paraId="5D0676EF" w14:textId="7EC4C294" w:rsidR="005241A3" w:rsidRDefault="00451CBF" w:rsidP="005241A3">
            <w:pPr>
              <w:jc w:val="both"/>
              <w:rPr>
                <w:rFonts w:cs="Arial"/>
              </w:rPr>
            </w:pPr>
            <w:r>
              <w:rPr>
                <w:rFonts w:cs="Arial"/>
              </w:rPr>
              <w:t>ESIF database not maintained leading to unreliable key control within RDP control framework and potential EU corrective action</w:t>
            </w:r>
          </w:p>
        </w:tc>
        <w:tc>
          <w:tcPr>
            <w:tcW w:w="3398" w:type="dxa"/>
          </w:tcPr>
          <w:p w14:paraId="70F3567D" w14:textId="5CA42E97" w:rsidR="005241A3" w:rsidRDefault="00451CBF" w:rsidP="005241A3">
            <w:pPr>
              <w:jc w:val="both"/>
              <w:rPr>
                <w:rFonts w:cs="Arial"/>
              </w:rPr>
            </w:pPr>
            <w:r>
              <w:rPr>
                <w:rFonts w:cs="Arial"/>
              </w:rPr>
              <w:t>High</w:t>
            </w:r>
          </w:p>
        </w:tc>
      </w:tr>
    </w:tbl>
    <w:p w14:paraId="757A3E3A" w14:textId="77777777" w:rsidR="00451CBF" w:rsidRDefault="00451CBF" w:rsidP="00451CBF">
      <w:pPr>
        <w:rPr>
          <w:rFonts w:cs="Arial"/>
          <w:b/>
        </w:rPr>
      </w:pPr>
    </w:p>
    <w:p w14:paraId="69EDF671" w14:textId="67F205F9" w:rsidR="00451CBF" w:rsidRDefault="00451CBF" w:rsidP="00451CBF">
      <w:pPr>
        <w:rPr>
          <w:rFonts w:cs="Arial"/>
        </w:rPr>
      </w:pPr>
      <w:r w:rsidRPr="00451CBF">
        <w:rPr>
          <w:rFonts w:cs="Arial"/>
        </w:rPr>
        <w:t>Brian Doherty thanked Anna for the update and noted the good success.</w:t>
      </w:r>
    </w:p>
    <w:p w14:paraId="76DF4646" w14:textId="77777777" w:rsidR="00451CBF" w:rsidRDefault="00451CBF" w:rsidP="00451CBF">
      <w:pPr>
        <w:rPr>
          <w:rFonts w:cs="Arial"/>
        </w:rPr>
      </w:pPr>
    </w:p>
    <w:p w14:paraId="55993333" w14:textId="4B178421" w:rsidR="00451CBF" w:rsidRDefault="00451CBF" w:rsidP="00451CBF">
      <w:pPr>
        <w:rPr>
          <w:rFonts w:cs="Arial"/>
          <w:b/>
        </w:rPr>
      </w:pPr>
      <w:r w:rsidRPr="00164D62">
        <w:rPr>
          <w:rFonts w:cs="Arial"/>
          <w:b/>
        </w:rPr>
        <w:t>3.</w:t>
      </w:r>
      <w:r w:rsidRPr="00164D62">
        <w:rPr>
          <w:rFonts w:cs="Arial"/>
          <w:b/>
        </w:rPr>
        <w:tab/>
      </w:r>
      <w:r w:rsidR="00164D62">
        <w:rPr>
          <w:rFonts w:cs="Arial"/>
          <w:b/>
        </w:rPr>
        <w:t>19/20 Business Plan Targets</w:t>
      </w:r>
    </w:p>
    <w:p w14:paraId="0DAD4407" w14:textId="77777777" w:rsidR="00164D62" w:rsidRDefault="00164D62" w:rsidP="00451CBF">
      <w:pPr>
        <w:rPr>
          <w:rFonts w:cs="Arial"/>
          <w:b/>
        </w:rPr>
      </w:pPr>
    </w:p>
    <w:p w14:paraId="7152E4FB" w14:textId="05E3EBE2" w:rsidR="00164D62" w:rsidRPr="00164D62" w:rsidRDefault="00164D62" w:rsidP="00164D62">
      <w:pPr>
        <w:rPr>
          <w:rFonts w:cs="Arial"/>
        </w:rPr>
      </w:pPr>
      <w:r w:rsidRPr="00164D62">
        <w:rPr>
          <w:rFonts w:cs="Arial"/>
        </w:rPr>
        <w:t xml:space="preserve">Brian Doherty reported that a number of </w:t>
      </w:r>
      <w:r>
        <w:rPr>
          <w:rFonts w:cs="Arial"/>
        </w:rPr>
        <w:t xml:space="preserve">targets for the 19/20 </w:t>
      </w:r>
      <w:r w:rsidRPr="00164D62">
        <w:rPr>
          <w:rFonts w:cs="Arial"/>
        </w:rPr>
        <w:t xml:space="preserve">Business Plan return are still outstanding. Brian asked that all business areas submit their proposed/revised targets by the end of this week. Targets will then be re-circulated to the Delivery Committee by correspondence and forwarded to DB for approval in May. </w:t>
      </w:r>
    </w:p>
    <w:p w14:paraId="2CA92557" w14:textId="77777777" w:rsidR="00164D62" w:rsidRPr="00164D62" w:rsidRDefault="00164D62" w:rsidP="00451CBF">
      <w:pPr>
        <w:rPr>
          <w:rFonts w:cs="Arial"/>
        </w:rPr>
      </w:pPr>
    </w:p>
    <w:p w14:paraId="6034B9AE" w14:textId="700A4C93" w:rsidR="00164D62" w:rsidRPr="00164D62" w:rsidRDefault="00164D62" w:rsidP="00451CBF">
      <w:pPr>
        <w:rPr>
          <w:rFonts w:cs="Arial"/>
        </w:rPr>
      </w:pPr>
      <w:r w:rsidRPr="00164D62">
        <w:rPr>
          <w:rFonts w:cs="Arial"/>
        </w:rPr>
        <w:t>The intention is to roll forward the current 18/19 targets to September 2019 by which time the uncertainty surrounding Brexit should hopefully have been removed.</w:t>
      </w:r>
    </w:p>
    <w:p w14:paraId="08F654E6" w14:textId="77777777" w:rsidR="00164D62" w:rsidRDefault="00164D62" w:rsidP="00451CBF">
      <w:pPr>
        <w:rPr>
          <w:rFonts w:cs="Arial"/>
          <w:b/>
        </w:rPr>
      </w:pPr>
    </w:p>
    <w:p w14:paraId="58D1EC5D" w14:textId="77777777" w:rsidR="00451CBF" w:rsidRDefault="00451CBF" w:rsidP="00451CBF">
      <w:pPr>
        <w:rPr>
          <w:rFonts w:cs="Arial"/>
          <w:b/>
        </w:rPr>
      </w:pPr>
    </w:p>
    <w:p w14:paraId="3D369518" w14:textId="77777777" w:rsidR="00451CBF" w:rsidRDefault="00451CBF" w:rsidP="00451CBF">
      <w:pPr>
        <w:rPr>
          <w:rFonts w:cs="Arial"/>
          <w:b/>
        </w:rPr>
      </w:pPr>
    </w:p>
    <w:p w14:paraId="4CC9975A" w14:textId="16F028EE" w:rsidR="00CC2EDA" w:rsidRPr="00921FF1" w:rsidRDefault="005E1A53" w:rsidP="005E1A53">
      <w:pPr>
        <w:rPr>
          <w:rFonts w:cs="Arial"/>
          <w:b/>
        </w:rPr>
      </w:pPr>
      <w:bookmarkStart w:id="0" w:name="_GoBack"/>
      <w:bookmarkEnd w:id="0"/>
      <w:r w:rsidRPr="00921FF1">
        <w:rPr>
          <w:rFonts w:cs="Arial"/>
          <w:b/>
        </w:rPr>
        <w:t xml:space="preserve"> </w:t>
      </w:r>
    </w:p>
    <w:sectPr w:rsidR="00CC2EDA" w:rsidRPr="00921FF1" w:rsidSect="00624E1D">
      <w:footerReference w:type="default" r:id="rId8"/>
      <w:type w:val="continuous"/>
      <w:pgSz w:w="11906" w:h="16838"/>
      <w:pgMar w:top="993" w:right="851" w:bottom="993" w:left="85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AB99" w14:textId="77777777" w:rsidR="00131593" w:rsidRDefault="00131593">
      <w:r>
        <w:separator/>
      </w:r>
    </w:p>
  </w:endnote>
  <w:endnote w:type="continuationSeparator" w:id="0">
    <w:p w14:paraId="7E235A36" w14:textId="77777777" w:rsidR="00131593" w:rsidRDefault="0013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0614" w14:textId="4739DD3F" w:rsidR="00F00729" w:rsidRPr="008476F2" w:rsidRDefault="00A85833" w:rsidP="00A85833">
    <w:pPr>
      <w:tabs>
        <w:tab w:val="center" w:pos="4320"/>
        <w:tab w:val="right" w:pos="8640"/>
      </w:tabs>
      <w:jc w:val="right"/>
      <w:rPr>
        <w:sz w:val="18"/>
        <w:szCs w:val="18"/>
      </w:rPr>
    </w:pPr>
    <w:r w:rsidRPr="00A85833">
      <w:rPr>
        <w:lang w:eastAsia="en-US"/>
      </w:rPr>
      <w:fldChar w:fldCharType="begin"/>
    </w:r>
    <w:r w:rsidRPr="00A85833">
      <w:rPr>
        <w:lang w:eastAsia="en-US"/>
      </w:rPr>
      <w:instrText xml:space="preserve"> PAGE   \* MERGEFORMAT </w:instrText>
    </w:r>
    <w:r w:rsidRPr="00A85833">
      <w:rPr>
        <w:lang w:eastAsia="en-US"/>
      </w:rPr>
      <w:fldChar w:fldCharType="separate"/>
    </w:r>
    <w:r w:rsidR="005E1A53">
      <w:rPr>
        <w:noProof/>
        <w:lang w:eastAsia="en-US"/>
      </w:rPr>
      <w:t>3</w:t>
    </w:r>
    <w:r w:rsidRPr="00A85833">
      <w:rPr>
        <w:noProof/>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4304" w14:textId="77777777" w:rsidR="00131593" w:rsidRDefault="00131593">
      <w:r>
        <w:separator/>
      </w:r>
    </w:p>
  </w:footnote>
  <w:footnote w:type="continuationSeparator" w:id="0">
    <w:p w14:paraId="790CAE12" w14:textId="77777777" w:rsidR="00131593" w:rsidRDefault="00131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0FCD"/>
    <w:multiLevelType w:val="hybridMultilevel"/>
    <w:tmpl w:val="518E3082"/>
    <w:lvl w:ilvl="0" w:tplc="C6E6FED2">
      <w:start w:val="1"/>
      <w:numFmt w:val="bullet"/>
      <w:lvlText w:val=""/>
      <w:lvlJc w:val="left"/>
      <w:pPr>
        <w:ind w:left="1080"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C2437"/>
    <w:multiLevelType w:val="hybridMultilevel"/>
    <w:tmpl w:val="F75C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46AE1"/>
    <w:multiLevelType w:val="hybridMultilevel"/>
    <w:tmpl w:val="A78AF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92CF5"/>
    <w:multiLevelType w:val="hybridMultilevel"/>
    <w:tmpl w:val="F0188CA6"/>
    <w:lvl w:ilvl="0" w:tplc="462A27D4">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2C2E85"/>
    <w:multiLevelType w:val="hybridMultilevel"/>
    <w:tmpl w:val="A18AC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C226AA"/>
    <w:multiLevelType w:val="hybridMultilevel"/>
    <w:tmpl w:val="A3240A88"/>
    <w:lvl w:ilvl="0" w:tplc="4BF6775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930BE"/>
    <w:multiLevelType w:val="hybridMultilevel"/>
    <w:tmpl w:val="5EBE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F24AF4"/>
    <w:multiLevelType w:val="hybridMultilevel"/>
    <w:tmpl w:val="5CD8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8"/>
    <w:rsid w:val="00013345"/>
    <w:rsid w:val="000133C6"/>
    <w:rsid w:val="000225BF"/>
    <w:rsid w:val="00022FA0"/>
    <w:rsid w:val="00031017"/>
    <w:rsid w:val="000314EC"/>
    <w:rsid w:val="00034EF0"/>
    <w:rsid w:val="00035536"/>
    <w:rsid w:val="000359C8"/>
    <w:rsid w:val="00035C17"/>
    <w:rsid w:val="00035C2F"/>
    <w:rsid w:val="00035ED4"/>
    <w:rsid w:val="000370F9"/>
    <w:rsid w:val="00041D83"/>
    <w:rsid w:val="000461BB"/>
    <w:rsid w:val="000477A2"/>
    <w:rsid w:val="00047F41"/>
    <w:rsid w:val="00050169"/>
    <w:rsid w:val="00050EEE"/>
    <w:rsid w:val="00051C88"/>
    <w:rsid w:val="00054998"/>
    <w:rsid w:val="00063EA0"/>
    <w:rsid w:val="000672CC"/>
    <w:rsid w:val="0007160D"/>
    <w:rsid w:val="00073A6B"/>
    <w:rsid w:val="00073F17"/>
    <w:rsid w:val="00074177"/>
    <w:rsid w:val="000753E1"/>
    <w:rsid w:val="000762E4"/>
    <w:rsid w:val="000805CA"/>
    <w:rsid w:val="000818CC"/>
    <w:rsid w:val="000820D6"/>
    <w:rsid w:val="000858CA"/>
    <w:rsid w:val="00087DC5"/>
    <w:rsid w:val="00091419"/>
    <w:rsid w:val="00092885"/>
    <w:rsid w:val="00097442"/>
    <w:rsid w:val="000A3F74"/>
    <w:rsid w:val="000A5ABF"/>
    <w:rsid w:val="000B6B43"/>
    <w:rsid w:val="000B7EDE"/>
    <w:rsid w:val="000C0D16"/>
    <w:rsid w:val="000C2E8B"/>
    <w:rsid w:val="000C318B"/>
    <w:rsid w:val="000D2532"/>
    <w:rsid w:val="000D51BE"/>
    <w:rsid w:val="000E1074"/>
    <w:rsid w:val="000E428C"/>
    <w:rsid w:val="000E4E2A"/>
    <w:rsid w:val="000E7153"/>
    <w:rsid w:val="000F5371"/>
    <w:rsid w:val="0010605A"/>
    <w:rsid w:val="00114FBF"/>
    <w:rsid w:val="001178EE"/>
    <w:rsid w:val="00120402"/>
    <w:rsid w:val="00120CAD"/>
    <w:rsid w:val="00122863"/>
    <w:rsid w:val="00127030"/>
    <w:rsid w:val="001278DB"/>
    <w:rsid w:val="00131342"/>
    <w:rsid w:val="00131593"/>
    <w:rsid w:val="00135805"/>
    <w:rsid w:val="0013747B"/>
    <w:rsid w:val="001374A7"/>
    <w:rsid w:val="00145838"/>
    <w:rsid w:val="0015090A"/>
    <w:rsid w:val="00150B04"/>
    <w:rsid w:val="00156F69"/>
    <w:rsid w:val="00157CBD"/>
    <w:rsid w:val="00162029"/>
    <w:rsid w:val="001624DA"/>
    <w:rsid w:val="001641AB"/>
    <w:rsid w:val="00164D62"/>
    <w:rsid w:val="0017679A"/>
    <w:rsid w:val="00180A1E"/>
    <w:rsid w:val="00183141"/>
    <w:rsid w:val="0018548B"/>
    <w:rsid w:val="00186125"/>
    <w:rsid w:val="00190B71"/>
    <w:rsid w:val="001943EF"/>
    <w:rsid w:val="00195651"/>
    <w:rsid w:val="00196485"/>
    <w:rsid w:val="001A0E93"/>
    <w:rsid w:val="001A2C38"/>
    <w:rsid w:val="001A4D27"/>
    <w:rsid w:val="001A515B"/>
    <w:rsid w:val="001B4878"/>
    <w:rsid w:val="001C4099"/>
    <w:rsid w:val="001C4450"/>
    <w:rsid w:val="001D4307"/>
    <w:rsid w:val="001D5A1D"/>
    <w:rsid w:val="001D6053"/>
    <w:rsid w:val="001D659B"/>
    <w:rsid w:val="001E52DC"/>
    <w:rsid w:val="001F0C64"/>
    <w:rsid w:val="001F1E9B"/>
    <w:rsid w:val="001F40F0"/>
    <w:rsid w:val="001F59F2"/>
    <w:rsid w:val="002025F9"/>
    <w:rsid w:val="002027D9"/>
    <w:rsid w:val="00204742"/>
    <w:rsid w:val="0020694F"/>
    <w:rsid w:val="0020766D"/>
    <w:rsid w:val="00207DE7"/>
    <w:rsid w:val="002122E0"/>
    <w:rsid w:val="002211BA"/>
    <w:rsid w:val="002252CB"/>
    <w:rsid w:val="00233D80"/>
    <w:rsid w:val="00236429"/>
    <w:rsid w:val="00236FEA"/>
    <w:rsid w:val="002418E5"/>
    <w:rsid w:val="00241DB2"/>
    <w:rsid w:val="00243383"/>
    <w:rsid w:val="002450DD"/>
    <w:rsid w:val="00245944"/>
    <w:rsid w:val="002532E3"/>
    <w:rsid w:val="00255067"/>
    <w:rsid w:val="00256887"/>
    <w:rsid w:val="00260729"/>
    <w:rsid w:val="00262439"/>
    <w:rsid w:val="00264B88"/>
    <w:rsid w:val="00266649"/>
    <w:rsid w:val="00267CFC"/>
    <w:rsid w:val="002759DE"/>
    <w:rsid w:val="002767EA"/>
    <w:rsid w:val="00280E97"/>
    <w:rsid w:val="00283990"/>
    <w:rsid w:val="002876A1"/>
    <w:rsid w:val="002A4C7D"/>
    <w:rsid w:val="002B4AEB"/>
    <w:rsid w:val="002C357B"/>
    <w:rsid w:val="002C5534"/>
    <w:rsid w:val="002C675E"/>
    <w:rsid w:val="002D090C"/>
    <w:rsid w:val="002D178D"/>
    <w:rsid w:val="002D1E37"/>
    <w:rsid w:val="002D6A38"/>
    <w:rsid w:val="002D6D60"/>
    <w:rsid w:val="002D7A29"/>
    <w:rsid w:val="002E3324"/>
    <w:rsid w:val="002E7A32"/>
    <w:rsid w:val="002F0DD7"/>
    <w:rsid w:val="002F4AFE"/>
    <w:rsid w:val="002F6C32"/>
    <w:rsid w:val="00302034"/>
    <w:rsid w:val="00304218"/>
    <w:rsid w:val="00305D48"/>
    <w:rsid w:val="00306A9D"/>
    <w:rsid w:val="0031010C"/>
    <w:rsid w:val="00312848"/>
    <w:rsid w:val="00314E3A"/>
    <w:rsid w:val="0031769F"/>
    <w:rsid w:val="003207CA"/>
    <w:rsid w:val="00320887"/>
    <w:rsid w:val="00322541"/>
    <w:rsid w:val="003237E6"/>
    <w:rsid w:val="00333685"/>
    <w:rsid w:val="00334117"/>
    <w:rsid w:val="00335C63"/>
    <w:rsid w:val="00337447"/>
    <w:rsid w:val="00342775"/>
    <w:rsid w:val="00342C6B"/>
    <w:rsid w:val="00345AC2"/>
    <w:rsid w:val="003528B0"/>
    <w:rsid w:val="003529AF"/>
    <w:rsid w:val="0035307B"/>
    <w:rsid w:val="0036064A"/>
    <w:rsid w:val="0036118C"/>
    <w:rsid w:val="0036273C"/>
    <w:rsid w:val="00365725"/>
    <w:rsid w:val="003761B0"/>
    <w:rsid w:val="0039492E"/>
    <w:rsid w:val="003A409E"/>
    <w:rsid w:val="003A683E"/>
    <w:rsid w:val="003A6B7E"/>
    <w:rsid w:val="003A6C3E"/>
    <w:rsid w:val="003B0F56"/>
    <w:rsid w:val="003B679E"/>
    <w:rsid w:val="003C00B1"/>
    <w:rsid w:val="003C11B1"/>
    <w:rsid w:val="003C205B"/>
    <w:rsid w:val="003C3249"/>
    <w:rsid w:val="003C49E9"/>
    <w:rsid w:val="003C5401"/>
    <w:rsid w:val="003C6AC2"/>
    <w:rsid w:val="003C7462"/>
    <w:rsid w:val="003D7ED5"/>
    <w:rsid w:val="003E5DCC"/>
    <w:rsid w:val="003F67A5"/>
    <w:rsid w:val="0040238E"/>
    <w:rsid w:val="0040309F"/>
    <w:rsid w:val="004076C3"/>
    <w:rsid w:val="00407808"/>
    <w:rsid w:val="00407B9F"/>
    <w:rsid w:val="00410C3E"/>
    <w:rsid w:val="00421265"/>
    <w:rsid w:val="00423E16"/>
    <w:rsid w:val="0042608B"/>
    <w:rsid w:val="0043282A"/>
    <w:rsid w:val="00441F42"/>
    <w:rsid w:val="004430D4"/>
    <w:rsid w:val="004461A8"/>
    <w:rsid w:val="0044638C"/>
    <w:rsid w:val="00451CBF"/>
    <w:rsid w:val="00454455"/>
    <w:rsid w:val="004600FE"/>
    <w:rsid w:val="00465826"/>
    <w:rsid w:val="00473E62"/>
    <w:rsid w:val="00477FA3"/>
    <w:rsid w:val="00483E6A"/>
    <w:rsid w:val="00490958"/>
    <w:rsid w:val="004928E2"/>
    <w:rsid w:val="004A4FA0"/>
    <w:rsid w:val="004A7B3A"/>
    <w:rsid w:val="004C1B09"/>
    <w:rsid w:val="004C24FC"/>
    <w:rsid w:val="004C5564"/>
    <w:rsid w:val="004E0E49"/>
    <w:rsid w:val="004E3B8B"/>
    <w:rsid w:val="004E4B24"/>
    <w:rsid w:val="004E6DD1"/>
    <w:rsid w:val="004F119C"/>
    <w:rsid w:val="005004C6"/>
    <w:rsid w:val="00501EFC"/>
    <w:rsid w:val="0050650A"/>
    <w:rsid w:val="00510D94"/>
    <w:rsid w:val="005116A3"/>
    <w:rsid w:val="00513F1B"/>
    <w:rsid w:val="005141D1"/>
    <w:rsid w:val="00517551"/>
    <w:rsid w:val="005204F4"/>
    <w:rsid w:val="00520A30"/>
    <w:rsid w:val="005234DF"/>
    <w:rsid w:val="00523EB5"/>
    <w:rsid w:val="005241A3"/>
    <w:rsid w:val="0053171B"/>
    <w:rsid w:val="005375F0"/>
    <w:rsid w:val="00537FB0"/>
    <w:rsid w:val="00540CED"/>
    <w:rsid w:val="00545946"/>
    <w:rsid w:val="005557BF"/>
    <w:rsid w:val="00556A45"/>
    <w:rsid w:val="005728EE"/>
    <w:rsid w:val="0057599D"/>
    <w:rsid w:val="00582829"/>
    <w:rsid w:val="005849BE"/>
    <w:rsid w:val="00586C1A"/>
    <w:rsid w:val="00594622"/>
    <w:rsid w:val="005A0549"/>
    <w:rsid w:val="005A57A4"/>
    <w:rsid w:val="005A661B"/>
    <w:rsid w:val="005A66CC"/>
    <w:rsid w:val="005B036F"/>
    <w:rsid w:val="005B25F5"/>
    <w:rsid w:val="005B5FDD"/>
    <w:rsid w:val="005B6380"/>
    <w:rsid w:val="005C5AFC"/>
    <w:rsid w:val="005C6768"/>
    <w:rsid w:val="005D3775"/>
    <w:rsid w:val="005D6E43"/>
    <w:rsid w:val="005D6EBD"/>
    <w:rsid w:val="005E10B6"/>
    <w:rsid w:val="005E1A53"/>
    <w:rsid w:val="005E2362"/>
    <w:rsid w:val="005E60EF"/>
    <w:rsid w:val="005F0A07"/>
    <w:rsid w:val="005F26D9"/>
    <w:rsid w:val="005F34B6"/>
    <w:rsid w:val="005F4503"/>
    <w:rsid w:val="006022B0"/>
    <w:rsid w:val="006029CB"/>
    <w:rsid w:val="006074A2"/>
    <w:rsid w:val="00613090"/>
    <w:rsid w:val="00614BA6"/>
    <w:rsid w:val="00615DEC"/>
    <w:rsid w:val="00616C99"/>
    <w:rsid w:val="00620552"/>
    <w:rsid w:val="0062096C"/>
    <w:rsid w:val="00624E1D"/>
    <w:rsid w:val="00624FB1"/>
    <w:rsid w:val="00631991"/>
    <w:rsid w:val="00632437"/>
    <w:rsid w:val="006353F5"/>
    <w:rsid w:val="00635D96"/>
    <w:rsid w:val="00636047"/>
    <w:rsid w:val="00636FB9"/>
    <w:rsid w:val="00642B92"/>
    <w:rsid w:val="0064309F"/>
    <w:rsid w:val="00647B94"/>
    <w:rsid w:val="00650AF5"/>
    <w:rsid w:val="00660F30"/>
    <w:rsid w:val="00663565"/>
    <w:rsid w:val="00663924"/>
    <w:rsid w:val="00675294"/>
    <w:rsid w:val="00676A9C"/>
    <w:rsid w:val="00683C51"/>
    <w:rsid w:val="00695078"/>
    <w:rsid w:val="006A52EA"/>
    <w:rsid w:val="006A5719"/>
    <w:rsid w:val="006A5C5C"/>
    <w:rsid w:val="006B1FC4"/>
    <w:rsid w:val="006C1148"/>
    <w:rsid w:val="006C444A"/>
    <w:rsid w:val="006C5407"/>
    <w:rsid w:val="006C5EB3"/>
    <w:rsid w:val="006C775F"/>
    <w:rsid w:val="006D02C3"/>
    <w:rsid w:val="006D2FB9"/>
    <w:rsid w:val="006D5FDF"/>
    <w:rsid w:val="006E35F3"/>
    <w:rsid w:val="006E40C2"/>
    <w:rsid w:val="006E4ACB"/>
    <w:rsid w:val="006F041A"/>
    <w:rsid w:val="006F27F4"/>
    <w:rsid w:val="00701202"/>
    <w:rsid w:val="00704BC6"/>
    <w:rsid w:val="00707B83"/>
    <w:rsid w:val="0071016B"/>
    <w:rsid w:val="00710732"/>
    <w:rsid w:val="00721B04"/>
    <w:rsid w:val="00721F3B"/>
    <w:rsid w:val="00723054"/>
    <w:rsid w:val="007236C2"/>
    <w:rsid w:val="00727ADA"/>
    <w:rsid w:val="00732085"/>
    <w:rsid w:val="00733D2A"/>
    <w:rsid w:val="00735FD2"/>
    <w:rsid w:val="00740F74"/>
    <w:rsid w:val="00746E09"/>
    <w:rsid w:val="007510D7"/>
    <w:rsid w:val="00766D47"/>
    <w:rsid w:val="00775CCC"/>
    <w:rsid w:val="00776A77"/>
    <w:rsid w:val="00786DD4"/>
    <w:rsid w:val="00792AAF"/>
    <w:rsid w:val="00793A05"/>
    <w:rsid w:val="00793C64"/>
    <w:rsid w:val="0079471B"/>
    <w:rsid w:val="007A0D85"/>
    <w:rsid w:val="007B1D80"/>
    <w:rsid w:val="007B63C5"/>
    <w:rsid w:val="007B7E52"/>
    <w:rsid w:val="007C0F1D"/>
    <w:rsid w:val="007C2E41"/>
    <w:rsid w:val="007D0DF3"/>
    <w:rsid w:val="007D376E"/>
    <w:rsid w:val="007E0F9A"/>
    <w:rsid w:val="007E648D"/>
    <w:rsid w:val="007F0DA9"/>
    <w:rsid w:val="007F0F6C"/>
    <w:rsid w:val="007F5211"/>
    <w:rsid w:val="007F5F54"/>
    <w:rsid w:val="0080215B"/>
    <w:rsid w:val="008038EE"/>
    <w:rsid w:val="00804DC8"/>
    <w:rsid w:val="00806E61"/>
    <w:rsid w:val="00807639"/>
    <w:rsid w:val="00810322"/>
    <w:rsid w:val="0081159B"/>
    <w:rsid w:val="008146D4"/>
    <w:rsid w:val="00820C79"/>
    <w:rsid w:val="00820DDC"/>
    <w:rsid w:val="008226F5"/>
    <w:rsid w:val="00830468"/>
    <w:rsid w:val="00831279"/>
    <w:rsid w:val="00831294"/>
    <w:rsid w:val="00837B49"/>
    <w:rsid w:val="00843551"/>
    <w:rsid w:val="00844E2A"/>
    <w:rsid w:val="00846B35"/>
    <w:rsid w:val="008476F2"/>
    <w:rsid w:val="0085043A"/>
    <w:rsid w:val="00860ABF"/>
    <w:rsid w:val="008611D4"/>
    <w:rsid w:val="008646D9"/>
    <w:rsid w:val="00871868"/>
    <w:rsid w:val="008719BA"/>
    <w:rsid w:val="00871B60"/>
    <w:rsid w:val="00871DDD"/>
    <w:rsid w:val="00872CCD"/>
    <w:rsid w:val="00873563"/>
    <w:rsid w:val="00881A49"/>
    <w:rsid w:val="00887E27"/>
    <w:rsid w:val="00895395"/>
    <w:rsid w:val="008A3451"/>
    <w:rsid w:val="008A64C5"/>
    <w:rsid w:val="008A7712"/>
    <w:rsid w:val="008A7897"/>
    <w:rsid w:val="008B189A"/>
    <w:rsid w:val="008B3711"/>
    <w:rsid w:val="008B7971"/>
    <w:rsid w:val="008B7E1E"/>
    <w:rsid w:val="008C05D3"/>
    <w:rsid w:val="008C198C"/>
    <w:rsid w:val="008C3D20"/>
    <w:rsid w:val="008D4F9B"/>
    <w:rsid w:val="008D5A80"/>
    <w:rsid w:val="008E261E"/>
    <w:rsid w:val="008E3511"/>
    <w:rsid w:val="008E6201"/>
    <w:rsid w:val="008F2F33"/>
    <w:rsid w:val="008F53DD"/>
    <w:rsid w:val="008F73DF"/>
    <w:rsid w:val="00901086"/>
    <w:rsid w:val="00902428"/>
    <w:rsid w:val="00903B2F"/>
    <w:rsid w:val="009068DC"/>
    <w:rsid w:val="00911D2A"/>
    <w:rsid w:val="009168FA"/>
    <w:rsid w:val="00921FF1"/>
    <w:rsid w:val="00924E5F"/>
    <w:rsid w:val="00925919"/>
    <w:rsid w:val="00934F07"/>
    <w:rsid w:val="00935F96"/>
    <w:rsid w:val="00936B3C"/>
    <w:rsid w:val="00942391"/>
    <w:rsid w:val="00942A83"/>
    <w:rsid w:val="00943392"/>
    <w:rsid w:val="009452AA"/>
    <w:rsid w:val="00946CD4"/>
    <w:rsid w:val="0095133F"/>
    <w:rsid w:val="00955B4D"/>
    <w:rsid w:val="00955D6E"/>
    <w:rsid w:val="00960E91"/>
    <w:rsid w:val="0096105B"/>
    <w:rsid w:val="00963228"/>
    <w:rsid w:val="00967D33"/>
    <w:rsid w:val="0097214A"/>
    <w:rsid w:val="00974700"/>
    <w:rsid w:val="00975014"/>
    <w:rsid w:val="009770EA"/>
    <w:rsid w:val="00982731"/>
    <w:rsid w:val="00983BC0"/>
    <w:rsid w:val="00985988"/>
    <w:rsid w:val="00987835"/>
    <w:rsid w:val="009919CB"/>
    <w:rsid w:val="00991C9A"/>
    <w:rsid w:val="00992DDD"/>
    <w:rsid w:val="00995EE5"/>
    <w:rsid w:val="009963F7"/>
    <w:rsid w:val="00996E1E"/>
    <w:rsid w:val="009B1B35"/>
    <w:rsid w:val="009B2D11"/>
    <w:rsid w:val="009B532B"/>
    <w:rsid w:val="009B541C"/>
    <w:rsid w:val="009C6D94"/>
    <w:rsid w:val="009C74D4"/>
    <w:rsid w:val="009D2236"/>
    <w:rsid w:val="009D2850"/>
    <w:rsid w:val="009E17AB"/>
    <w:rsid w:val="009E287F"/>
    <w:rsid w:val="009F044D"/>
    <w:rsid w:val="009F04FC"/>
    <w:rsid w:val="009F0A46"/>
    <w:rsid w:val="009F1A71"/>
    <w:rsid w:val="009F304A"/>
    <w:rsid w:val="009F6CD6"/>
    <w:rsid w:val="00A04266"/>
    <w:rsid w:val="00A053F3"/>
    <w:rsid w:val="00A12684"/>
    <w:rsid w:val="00A13FE1"/>
    <w:rsid w:val="00A14F7C"/>
    <w:rsid w:val="00A15EE0"/>
    <w:rsid w:val="00A20BAE"/>
    <w:rsid w:val="00A21BE0"/>
    <w:rsid w:val="00A23C12"/>
    <w:rsid w:val="00A25200"/>
    <w:rsid w:val="00A2631F"/>
    <w:rsid w:val="00A3271B"/>
    <w:rsid w:val="00A3503D"/>
    <w:rsid w:val="00A3549E"/>
    <w:rsid w:val="00A36079"/>
    <w:rsid w:val="00A36AAE"/>
    <w:rsid w:val="00A401C0"/>
    <w:rsid w:val="00A4238F"/>
    <w:rsid w:val="00A46199"/>
    <w:rsid w:val="00A4726D"/>
    <w:rsid w:val="00A537BE"/>
    <w:rsid w:val="00A55026"/>
    <w:rsid w:val="00A7127B"/>
    <w:rsid w:val="00A740C0"/>
    <w:rsid w:val="00A74932"/>
    <w:rsid w:val="00A768E1"/>
    <w:rsid w:val="00A85833"/>
    <w:rsid w:val="00A902C2"/>
    <w:rsid w:val="00A91EA3"/>
    <w:rsid w:val="00AA0A05"/>
    <w:rsid w:val="00AA348F"/>
    <w:rsid w:val="00AA40BC"/>
    <w:rsid w:val="00AB07FD"/>
    <w:rsid w:val="00AB7067"/>
    <w:rsid w:val="00AC08D3"/>
    <w:rsid w:val="00AC1371"/>
    <w:rsid w:val="00AC4918"/>
    <w:rsid w:val="00AC5453"/>
    <w:rsid w:val="00AD0CB8"/>
    <w:rsid w:val="00AD30C7"/>
    <w:rsid w:val="00AD5122"/>
    <w:rsid w:val="00AD5B40"/>
    <w:rsid w:val="00AE3681"/>
    <w:rsid w:val="00AE7C8B"/>
    <w:rsid w:val="00B00C61"/>
    <w:rsid w:val="00B01638"/>
    <w:rsid w:val="00B102E6"/>
    <w:rsid w:val="00B17E35"/>
    <w:rsid w:val="00B2104B"/>
    <w:rsid w:val="00B2756B"/>
    <w:rsid w:val="00B30AFB"/>
    <w:rsid w:val="00B3584D"/>
    <w:rsid w:val="00B456E8"/>
    <w:rsid w:val="00B56198"/>
    <w:rsid w:val="00B56D56"/>
    <w:rsid w:val="00B601A7"/>
    <w:rsid w:val="00B60B94"/>
    <w:rsid w:val="00B63562"/>
    <w:rsid w:val="00B66B7E"/>
    <w:rsid w:val="00B709B0"/>
    <w:rsid w:val="00B731C9"/>
    <w:rsid w:val="00B7520A"/>
    <w:rsid w:val="00B831C8"/>
    <w:rsid w:val="00B831FC"/>
    <w:rsid w:val="00B834BE"/>
    <w:rsid w:val="00B8491E"/>
    <w:rsid w:val="00B85437"/>
    <w:rsid w:val="00B85632"/>
    <w:rsid w:val="00B85CD0"/>
    <w:rsid w:val="00B93A65"/>
    <w:rsid w:val="00B9638F"/>
    <w:rsid w:val="00BA1051"/>
    <w:rsid w:val="00BA155A"/>
    <w:rsid w:val="00BA3B24"/>
    <w:rsid w:val="00BA7E85"/>
    <w:rsid w:val="00BB49FC"/>
    <w:rsid w:val="00BC0A9C"/>
    <w:rsid w:val="00BC386A"/>
    <w:rsid w:val="00BC7AD0"/>
    <w:rsid w:val="00BC7E59"/>
    <w:rsid w:val="00BD2FD1"/>
    <w:rsid w:val="00BD337A"/>
    <w:rsid w:val="00BD608A"/>
    <w:rsid w:val="00BE00E8"/>
    <w:rsid w:val="00BE01F7"/>
    <w:rsid w:val="00BE1ED8"/>
    <w:rsid w:val="00BF0E6A"/>
    <w:rsid w:val="00BF45C9"/>
    <w:rsid w:val="00BF4DDA"/>
    <w:rsid w:val="00BF7536"/>
    <w:rsid w:val="00C0021D"/>
    <w:rsid w:val="00C14C2E"/>
    <w:rsid w:val="00C1557C"/>
    <w:rsid w:val="00C17756"/>
    <w:rsid w:val="00C17DFA"/>
    <w:rsid w:val="00C20270"/>
    <w:rsid w:val="00C24A34"/>
    <w:rsid w:val="00C258BB"/>
    <w:rsid w:val="00C25D66"/>
    <w:rsid w:val="00C267C7"/>
    <w:rsid w:val="00C35212"/>
    <w:rsid w:val="00C352B2"/>
    <w:rsid w:val="00C40CCE"/>
    <w:rsid w:val="00C41B5A"/>
    <w:rsid w:val="00C41F16"/>
    <w:rsid w:val="00C421F8"/>
    <w:rsid w:val="00C448DD"/>
    <w:rsid w:val="00C44F52"/>
    <w:rsid w:val="00C46DEF"/>
    <w:rsid w:val="00C528F4"/>
    <w:rsid w:val="00C52B48"/>
    <w:rsid w:val="00C56A25"/>
    <w:rsid w:val="00C66F59"/>
    <w:rsid w:val="00C673A2"/>
    <w:rsid w:val="00C67B30"/>
    <w:rsid w:val="00C70087"/>
    <w:rsid w:val="00C72A1B"/>
    <w:rsid w:val="00C73A7F"/>
    <w:rsid w:val="00C73FCF"/>
    <w:rsid w:val="00C929DF"/>
    <w:rsid w:val="00C9466E"/>
    <w:rsid w:val="00C94BB1"/>
    <w:rsid w:val="00C95C00"/>
    <w:rsid w:val="00C978E4"/>
    <w:rsid w:val="00CA222B"/>
    <w:rsid w:val="00CA25A7"/>
    <w:rsid w:val="00CA5BBA"/>
    <w:rsid w:val="00CB5C8C"/>
    <w:rsid w:val="00CB5E33"/>
    <w:rsid w:val="00CC20DF"/>
    <w:rsid w:val="00CC2EDA"/>
    <w:rsid w:val="00CC5904"/>
    <w:rsid w:val="00CD2D0D"/>
    <w:rsid w:val="00CD6824"/>
    <w:rsid w:val="00CE0ACB"/>
    <w:rsid w:val="00CE3F70"/>
    <w:rsid w:val="00CE7D1B"/>
    <w:rsid w:val="00CF46A6"/>
    <w:rsid w:val="00CF65C7"/>
    <w:rsid w:val="00D060B0"/>
    <w:rsid w:val="00D1637A"/>
    <w:rsid w:val="00D176AB"/>
    <w:rsid w:val="00D21D14"/>
    <w:rsid w:val="00D22C82"/>
    <w:rsid w:val="00D25C23"/>
    <w:rsid w:val="00D30DF1"/>
    <w:rsid w:val="00D31ACF"/>
    <w:rsid w:val="00D3306F"/>
    <w:rsid w:val="00D33C83"/>
    <w:rsid w:val="00D36D86"/>
    <w:rsid w:val="00D440F4"/>
    <w:rsid w:val="00D50FFB"/>
    <w:rsid w:val="00D51FF2"/>
    <w:rsid w:val="00D53BD6"/>
    <w:rsid w:val="00D566B7"/>
    <w:rsid w:val="00D576D8"/>
    <w:rsid w:val="00D707FA"/>
    <w:rsid w:val="00D726CA"/>
    <w:rsid w:val="00D86D39"/>
    <w:rsid w:val="00D92BD3"/>
    <w:rsid w:val="00D93857"/>
    <w:rsid w:val="00DA5184"/>
    <w:rsid w:val="00DA6739"/>
    <w:rsid w:val="00DA7541"/>
    <w:rsid w:val="00DB056D"/>
    <w:rsid w:val="00DB0A3D"/>
    <w:rsid w:val="00DB0CBC"/>
    <w:rsid w:val="00DB5852"/>
    <w:rsid w:val="00DB78A4"/>
    <w:rsid w:val="00DC2752"/>
    <w:rsid w:val="00DC6ED2"/>
    <w:rsid w:val="00DD1186"/>
    <w:rsid w:val="00DF083D"/>
    <w:rsid w:val="00DF5241"/>
    <w:rsid w:val="00DF54D4"/>
    <w:rsid w:val="00DF68F7"/>
    <w:rsid w:val="00DF6D1E"/>
    <w:rsid w:val="00E00B7F"/>
    <w:rsid w:val="00E02FF6"/>
    <w:rsid w:val="00E05FC3"/>
    <w:rsid w:val="00E0641C"/>
    <w:rsid w:val="00E12AB5"/>
    <w:rsid w:val="00E2174B"/>
    <w:rsid w:val="00E32759"/>
    <w:rsid w:val="00E336A9"/>
    <w:rsid w:val="00E41E40"/>
    <w:rsid w:val="00E45C20"/>
    <w:rsid w:val="00E46E83"/>
    <w:rsid w:val="00E50B43"/>
    <w:rsid w:val="00E50DCB"/>
    <w:rsid w:val="00E51F23"/>
    <w:rsid w:val="00E55201"/>
    <w:rsid w:val="00E653D8"/>
    <w:rsid w:val="00E72B48"/>
    <w:rsid w:val="00E779D9"/>
    <w:rsid w:val="00E84CCA"/>
    <w:rsid w:val="00E85B06"/>
    <w:rsid w:val="00E86F50"/>
    <w:rsid w:val="00E8732A"/>
    <w:rsid w:val="00E92A40"/>
    <w:rsid w:val="00E93679"/>
    <w:rsid w:val="00E9500C"/>
    <w:rsid w:val="00E95E99"/>
    <w:rsid w:val="00E96242"/>
    <w:rsid w:val="00E9681A"/>
    <w:rsid w:val="00E96ABD"/>
    <w:rsid w:val="00EA66C0"/>
    <w:rsid w:val="00EB28EF"/>
    <w:rsid w:val="00EC3A9F"/>
    <w:rsid w:val="00EC54A9"/>
    <w:rsid w:val="00EC5C87"/>
    <w:rsid w:val="00EC5EA4"/>
    <w:rsid w:val="00EC6DCE"/>
    <w:rsid w:val="00ED05EB"/>
    <w:rsid w:val="00ED0C25"/>
    <w:rsid w:val="00ED4220"/>
    <w:rsid w:val="00ED484C"/>
    <w:rsid w:val="00EE768E"/>
    <w:rsid w:val="00EF272E"/>
    <w:rsid w:val="00EF409C"/>
    <w:rsid w:val="00EF529E"/>
    <w:rsid w:val="00F00729"/>
    <w:rsid w:val="00F00792"/>
    <w:rsid w:val="00F01CA4"/>
    <w:rsid w:val="00F01F28"/>
    <w:rsid w:val="00F0277A"/>
    <w:rsid w:val="00F02F79"/>
    <w:rsid w:val="00F10401"/>
    <w:rsid w:val="00F11E6B"/>
    <w:rsid w:val="00F11EB5"/>
    <w:rsid w:val="00F121AB"/>
    <w:rsid w:val="00F14C02"/>
    <w:rsid w:val="00F15C57"/>
    <w:rsid w:val="00F16519"/>
    <w:rsid w:val="00F20349"/>
    <w:rsid w:val="00F20413"/>
    <w:rsid w:val="00F25701"/>
    <w:rsid w:val="00F25D8F"/>
    <w:rsid w:val="00F26D1B"/>
    <w:rsid w:val="00F3110C"/>
    <w:rsid w:val="00F41C2F"/>
    <w:rsid w:val="00F423F8"/>
    <w:rsid w:val="00F45E65"/>
    <w:rsid w:val="00F547AE"/>
    <w:rsid w:val="00F54851"/>
    <w:rsid w:val="00F56155"/>
    <w:rsid w:val="00F61013"/>
    <w:rsid w:val="00F64942"/>
    <w:rsid w:val="00F76ED0"/>
    <w:rsid w:val="00F77CC9"/>
    <w:rsid w:val="00F80F36"/>
    <w:rsid w:val="00F81457"/>
    <w:rsid w:val="00F8362A"/>
    <w:rsid w:val="00F926F4"/>
    <w:rsid w:val="00F93ADD"/>
    <w:rsid w:val="00FA0111"/>
    <w:rsid w:val="00FA1960"/>
    <w:rsid w:val="00FA2D10"/>
    <w:rsid w:val="00FA39E4"/>
    <w:rsid w:val="00FA55D4"/>
    <w:rsid w:val="00FB2AF9"/>
    <w:rsid w:val="00FC0AB1"/>
    <w:rsid w:val="00FC10C6"/>
    <w:rsid w:val="00FC222C"/>
    <w:rsid w:val="00FC6D18"/>
    <w:rsid w:val="00FD33DD"/>
    <w:rsid w:val="00FD7170"/>
    <w:rsid w:val="00FE2207"/>
    <w:rsid w:val="00FE53AF"/>
    <w:rsid w:val="00FF20E1"/>
    <w:rsid w:val="00FF2BE6"/>
    <w:rsid w:val="00FF45E6"/>
    <w:rsid w:val="00FF52B7"/>
    <w:rsid w:val="00FF71A3"/>
    <w:rsid w:val="00F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2D8DB"/>
  <w15:docId w15:val="{76B753EB-3196-4230-98FA-A9A66ABD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2B"/>
    <w:rPr>
      <w:rFonts w:ascii="Arial" w:hAnsi="Arial"/>
      <w:sz w:val="24"/>
      <w:szCs w:val="24"/>
    </w:rPr>
  </w:style>
  <w:style w:type="paragraph" w:styleId="Heading1">
    <w:name w:val="heading 1"/>
    <w:basedOn w:val="Normal"/>
    <w:next w:val="Normal"/>
    <w:qFormat/>
    <w:rsid w:val="00BC386A"/>
    <w:pPr>
      <w:keepNext/>
      <w:spacing w:before="240" w:after="60"/>
      <w:outlineLvl w:val="0"/>
    </w:pPr>
    <w:rPr>
      <w:rFonts w:cs="Arial"/>
      <w:b/>
      <w:bCs/>
      <w:caps/>
      <w:kern w:val="32"/>
      <w:szCs w:val="32"/>
    </w:rPr>
  </w:style>
  <w:style w:type="paragraph" w:styleId="Heading5">
    <w:name w:val="heading 5"/>
    <w:basedOn w:val="Normal"/>
    <w:next w:val="Normal"/>
    <w:qFormat/>
    <w:rsid w:val="00BC386A"/>
    <w:pPr>
      <w:keepNext/>
      <w:outlineLvl w:val="4"/>
    </w:pPr>
    <w:rPr>
      <w:b/>
      <w:bCs/>
      <w:color w:val="006699"/>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86A"/>
    <w:pPr>
      <w:tabs>
        <w:tab w:val="center" w:pos="4320"/>
        <w:tab w:val="right" w:pos="8640"/>
      </w:tabs>
    </w:pPr>
    <w:rPr>
      <w:rFonts w:ascii="Times" w:hAnsi="Times"/>
      <w:szCs w:val="20"/>
      <w:lang w:val="en-US" w:eastAsia="en-US"/>
    </w:rPr>
  </w:style>
  <w:style w:type="character" w:styleId="Hyperlink">
    <w:name w:val="Hyperlink"/>
    <w:rsid w:val="00BC386A"/>
    <w:rPr>
      <w:color w:val="0000FF"/>
      <w:u w:val="single"/>
    </w:rPr>
  </w:style>
  <w:style w:type="character" w:customStyle="1" w:styleId="StyleArial">
    <w:name w:val="Style Arial"/>
    <w:rsid w:val="00BC386A"/>
    <w:rPr>
      <w:rFonts w:ascii="Arial" w:hAnsi="Arial"/>
      <w:sz w:val="24"/>
    </w:rPr>
  </w:style>
  <w:style w:type="paragraph" w:styleId="Footer">
    <w:name w:val="footer"/>
    <w:basedOn w:val="Normal"/>
    <w:link w:val="FooterChar"/>
    <w:uiPriority w:val="99"/>
    <w:rsid w:val="00BC386A"/>
    <w:pPr>
      <w:tabs>
        <w:tab w:val="center" w:pos="4153"/>
        <w:tab w:val="right" w:pos="8306"/>
      </w:tabs>
    </w:pPr>
  </w:style>
  <w:style w:type="paragraph" w:customStyle="1" w:styleId="DARDLetterTextSize">
    <w:name w:val="DARD Letter Text Size"/>
    <w:basedOn w:val="Normal"/>
    <w:autoRedefine/>
    <w:rsid w:val="009F044D"/>
    <w:pPr>
      <w:ind w:left="-108" w:right="170"/>
    </w:pPr>
    <w:rPr>
      <w:rFonts w:eastAsia="Times"/>
      <w:noProof/>
      <w:sz w:val="20"/>
      <w:szCs w:val="20"/>
    </w:rPr>
  </w:style>
  <w:style w:type="table" w:styleId="TableGrid">
    <w:name w:val="Table Grid"/>
    <w:basedOn w:val="TableNormal"/>
    <w:uiPriority w:val="59"/>
    <w:rsid w:val="009F044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DSectionName">
    <w:name w:val="DARD Section Name"/>
    <w:basedOn w:val="Header"/>
    <w:autoRedefine/>
    <w:rsid w:val="009F044D"/>
    <w:pPr>
      <w:tabs>
        <w:tab w:val="clear" w:pos="4320"/>
        <w:tab w:val="clear" w:pos="8640"/>
        <w:tab w:val="center" w:pos="3749"/>
      </w:tabs>
      <w:ind w:left="568"/>
    </w:pPr>
    <w:rPr>
      <w:rFonts w:ascii="Arial" w:eastAsia="Times" w:hAnsi="Arial"/>
      <w:lang w:eastAsia="en-GB"/>
    </w:rPr>
  </w:style>
  <w:style w:type="paragraph" w:customStyle="1" w:styleId="DARDTextphoneStatementEnglish">
    <w:name w:val="DARD Textphone Statement English"/>
    <w:basedOn w:val="Footer"/>
    <w:autoRedefine/>
    <w:rsid w:val="00365725"/>
    <w:pPr>
      <w:tabs>
        <w:tab w:val="clear" w:pos="4153"/>
        <w:tab w:val="clear" w:pos="8306"/>
        <w:tab w:val="center" w:pos="4320"/>
        <w:tab w:val="right" w:pos="8640"/>
      </w:tabs>
      <w:spacing w:before="300"/>
      <w:ind w:left="567"/>
    </w:pPr>
    <w:rPr>
      <w:rFonts w:eastAsia="Times"/>
      <w:color w:val="FFFFFF"/>
      <w:sz w:val="20"/>
      <w:szCs w:val="20"/>
      <w:lang w:val="en-US"/>
    </w:rPr>
  </w:style>
  <w:style w:type="paragraph" w:customStyle="1" w:styleId="DARDTextphoneStatementIrish">
    <w:name w:val="DARD Textphone Statement Irish"/>
    <w:basedOn w:val="Footer"/>
    <w:autoRedefine/>
    <w:rsid w:val="00365725"/>
    <w:pPr>
      <w:tabs>
        <w:tab w:val="clear" w:pos="4153"/>
        <w:tab w:val="clear" w:pos="8306"/>
        <w:tab w:val="center" w:pos="4320"/>
        <w:tab w:val="right" w:pos="8640"/>
      </w:tabs>
    </w:pPr>
    <w:rPr>
      <w:rFonts w:eastAsia="Times"/>
      <w:sz w:val="20"/>
      <w:szCs w:val="20"/>
      <w:lang w:val="en-US"/>
    </w:rPr>
  </w:style>
  <w:style w:type="paragraph" w:styleId="BalloonText">
    <w:name w:val="Balloon Text"/>
    <w:basedOn w:val="Normal"/>
    <w:semiHidden/>
    <w:rsid w:val="00312848"/>
    <w:rPr>
      <w:rFonts w:ascii="Tahoma" w:hAnsi="Tahoma" w:cs="Tahoma"/>
      <w:sz w:val="16"/>
      <w:szCs w:val="16"/>
    </w:rPr>
  </w:style>
  <w:style w:type="character" w:customStyle="1" w:styleId="FooterChar">
    <w:name w:val="Footer Char"/>
    <w:link w:val="Footer"/>
    <w:uiPriority w:val="99"/>
    <w:rsid w:val="00631991"/>
    <w:rPr>
      <w:rFonts w:ascii="Arial" w:hAnsi="Arial"/>
      <w:sz w:val="24"/>
      <w:szCs w:val="24"/>
    </w:rPr>
  </w:style>
  <w:style w:type="character" w:styleId="CommentReference">
    <w:name w:val="annotation reference"/>
    <w:rsid w:val="006E40C2"/>
    <w:rPr>
      <w:sz w:val="16"/>
      <w:szCs w:val="16"/>
    </w:rPr>
  </w:style>
  <w:style w:type="paragraph" w:styleId="CommentText">
    <w:name w:val="annotation text"/>
    <w:basedOn w:val="Normal"/>
    <w:link w:val="CommentTextChar"/>
    <w:rsid w:val="006E40C2"/>
    <w:rPr>
      <w:sz w:val="20"/>
      <w:szCs w:val="20"/>
    </w:rPr>
  </w:style>
  <w:style w:type="character" w:customStyle="1" w:styleId="CommentTextChar">
    <w:name w:val="Comment Text Char"/>
    <w:link w:val="CommentText"/>
    <w:rsid w:val="006E40C2"/>
    <w:rPr>
      <w:rFonts w:ascii="Arial" w:hAnsi="Arial"/>
    </w:rPr>
  </w:style>
  <w:style w:type="paragraph" w:styleId="CommentSubject">
    <w:name w:val="annotation subject"/>
    <w:basedOn w:val="CommentText"/>
    <w:next w:val="CommentText"/>
    <w:link w:val="CommentSubjectChar"/>
    <w:rsid w:val="006E40C2"/>
    <w:rPr>
      <w:b/>
      <w:bCs/>
    </w:rPr>
  </w:style>
  <w:style w:type="character" w:customStyle="1" w:styleId="CommentSubjectChar">
    <w:name w:val="Comment Subject Char"/>
    <w:link w:val="CommentSubject"/>
    <w:rsid w:val="006E40C2"/>
    <w:rPr>
      <w:rFonts w:ascii="Arial" w:hAnsi="Arial"/>
      <w:b/>
      <w:bCs/>
    </w:rPr>
  </w:style>
  <w:style w:type="paragraph" w:styleId="ListParagraph">
    <w:name w:val="List Paragraph"/>
    <w:basedOn w:val="Normal"/>
    <w:uiPriority w:val="34"/>
    <w:qFormat/>
    <w:rsid w:val="00792AAF"/>
    <w:pPr>
      <w:ind w:left="720"/>
    </w:pPr>
    <w:rPr>
      <w:rFonts w:ascii="Calibri" w:eastAsia="Calibri" w:hAnsi="Calibri"/>
      <w:sz w:val="22"/>
      <w:szCs w:val="22"/>
    </w:rPr>
  </w:style>
  <w:style w:type="character" w:customStyle="1" w:styleId="HeaderChar">
    <w:name w:val="Header Char"/>
    <w:basedOn w:val="DefaultParagraphFont"/>
    <w:link w:val="Header"/>
    <w:uiPriority w:val="99"/>
    <w:rsid w:val="00A85833"/>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3296">
      <w:bodyDiv w:val="1"/>
      <w:marLeft w:val="0"/>
      <w:marRight w:val="0"/>
      <w:marTop w:val="0"/>
      <w:marBottom w:val="0"/>
      <w:divBdr>
        <w:top w:val="none" w:sz="0" w:space="0" w:color="auto"/>
        <w:left w:val="none" w:sz="0" w:space="0" w:color="auto"/>
        <w:bottom w:val="none" w:sz="0" w:space="0" w:color="auto"/>
        <w:right w:val="none" w:sz="0" w:space="0" w:color="auto"/>
      </w:divBdr>
    </w:div>
    <w:div w:id="680277974">
      <w:bodyDiv w:val="1"/>
      <w:marLeft w:val="0"/>
      <w:marRight w:val="0"/>
      <w:marTop w:val="0"/>
      <w:marBottom w:val="0"/>
      <w:divBdr>
        <w:top w:val="none" w:sz="0" w:space="0" w:color="auto"/>
        <w:left w:val="none" w:sz="0" w:space="0" w:color="auto"/>
        <w:bottom w:val="none" w:sz="0" w:space="0" w:color="auto"/>
        <w:right w:val="none" w:sz="0" w:space="0" w:color="auto"/>
      </w:divBdr>
    </w:div>
    <w:div w:id="766194068">
      <w:bodyDiv w:val="1"/>
      <w:marLeft w:val="0"/>
      <w:marRight w:val="0"/>
      <w:marTop w:val="0"/>
      <w:marBottom w:val="0"/>
      <w:divBdr>
        <w:top w:val="none" w:sz="0" w:space="0" w:color="auto"/>
        <w:left w:val="none" w:sz="0" w:space="0" w:color="auto"/>
        <w:bottom w:val="none" w:sz="0" w:space="0" w:color="auto"/>
        <w:right w:val="none" w:sz="0" w:space="0" w:color="auto"/>
      </w:divBdr>
    </w:div>
    <w:div w:id="1035959933">
      <w:bodyDiv w:val="1"/>
      <w:marLeft w:val="0"/>
      <w:marRight w:val="0"/>
      <w:marTop w:val="0"/>
      <w:marBottom w:val="0"/>
      <w:divBdr>
        <w:top w:val="none" w:sz="0" w:space="0" w:color="auto"/>
        <w:left w:val="none" w:sz="0" w:space="0" w:color="auto"/>
        <w:bottom w:val="none" w:sz="0" w:space="0" w:color="auto"/>
        <w:right w:val="none" w:sz="0" w:space="0" w:color="auto"/>
      </w:divBdr>
    </w:div>
    <w:div w:id="1066493701">
      <w:bodyDiv w:val="1"/>
      <w:marLeft w:val="0"/>
      <w:marRight w:val="0"/>
      <w:marTop w:val="0"/>
      <w:marBottom w:val="0"/>
      <w:divBdr>
        <w:top w:val="none" w:sz="0" w:space="0" w:color="auto"/>
        <w:left w:val="none" w:sz="0" w:space="0" w:color="auto"/>
        <w:bottom w:val="none" w:sz="0" w:space="0" w:color="auto"/>
        <w:right w:val="none" w:sz="0" w:space="0" w:color="auto"/>
      </w:divBdr>
    </w:div>
    <w:div w:id="1213468144">
      <w:bodyDiv w:val="1"/>
      <w:marLeft w:val="0"/>
      <w:marRight w:val="0"/>
      <w:marTop w:val="0"/>
      <w:marBottom w:val="0"/>
      <w:divBdr>
        <w:top w:val="none" w:sz="0" w:space="0" w:color="auto"/>
        <w:left w:val="none" w:sz="0" w:space="0" w:color="auto"/>
        <w:bottom w:val="none" w:sz="0" w:space="0" w:color="auto"/>
        <w:right w:val="none" w:sz="0" w:space="0" w:color="auto"/>
      </w:divBdr>
    </w:div>
    <w:div w:id="1518352543">
      <w:bodyDiv w:val="1"/>
      <w:marLeft w:val="0"/>
      <w:marRight w:val="0"/>
      <w:marTop w:val="0"/>
      <w:marBottom w:val="0"/>
      <w:divBdr>
        <w:top w:val="none" w:sz="0" w:space="0" w:color="auto"/>
        <w:left w:val="none" w:sz="0" w:space="0" w:color="auto"/>
        <w:bottom w:val="none" w:sz="0" w:space="0" w:color="auto"/>
        <w:right w:val="none" w:sz="0" w:space="0" w:color="auto"/>
      </w:divBdr>
    </w:div>
    <w:div w:id="1560094359">
      <w:bodyDiv w:val="1"/>
      <w:marLeft w:val="0"/>
      <w:marRight w:val="0"/>
      <w:marTop w:val="0"/>
      <w:marBottom w:val="0"/>
      <w:divBdr>
        <w:top w:val="none" w:sz="0" w:space="0" w:color="auto"/>
        <w:left w:val="none" w:sz="0" w:space="0" w:color="auto"/>
        <w:bottom w:val="none" w:sz="0" w:space="0" w:color="auto"/>
        <w:right w:val="none" w:sz="0" w:space="0" w:color="auto"/>
      </w:divBdr>
    </w:div>
    <w:div w:id="1645155430">
      <w:bodyDiv w:val="1"/>
      <w:marLeft w:val="0"/>
      <w:marRight w:val="0"/>
      <w:marTop w:val="0"/>
      <w:marBottom w:val="0"/>
      <w:divBdr>
        <w:top w:val="none" w:sz="0" w:space="0" w:color="auto"/>
        <w:left w:val="none" w:sz="0" w:space="0" w:color="auto"/>
        <w:bottom w:val="none" w:sz="0" w:space="0" w:color="auto"/>
        <w:right w:val="none" w:sz="0" w:space="0" w:color="auto"/>
      </w:divBdr>
    </w:div>
    <w:div w:id="1888104395">
      <w:bodyDiv w:val="1"/>
      <w:marLeft w:val="0"/>
      <w:marRight w:val="0"/>
      <w:marTop w:val="0"/>
      <w:marBottom w:val="0"/>
      <w:divBdr>
        <w:top w:val="none" w:sz="0" w:space="0" w:color="auto"/>
        <w:left w:val="none" w:sz="0" w:space="0" w:color="auto"/>
        <w:bottom w:val="none" w:sz="0" w:space="0" w:color="auto"/>
        <w:right w:val="none" w:sz="0" w:space="0" w:color="auto"/>
      </w:divBdr>
    </w:div>
    <w:div w:id="1949727885">
      <w:bodyDiv w:val="1"/>
      <w:marLeft w:val="0"/>
      <w:marRight w:val="0"/>
      <w:marTop w:val="0"/>
      <w:marBottom w:val="0"/>
      <w:divBdr>
        <w:top w:val="none" w:sz="0" w:space="0" w:color="auto"/>
        <w:left w:val="none" w:sz="0" w:space="0" w:color="auto"/>
        <w:bottom w:val="none" w:sz="0" w:space="0" w:color="auto"/>
        <w:right w:val="none" w:sz="0" w:space="0" w:color="auto"/>
      </w:divBdr>
    </w:div>
    <w:div w:id="20566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028E-27B1-47EE-BA1A-C750EC0D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DARDNI</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Arleen Thompson (1410134)</dc:creator>
  <cp:keywords/>
  <dc:description/>
  <cp:lastModifiedBy>Gunn, Ronan</cp:lastModifiedBy>
  <cp:revision>22</cp:revision>
  <cp:lastPrinted>2018-05-01T12:14:00Z</cp:lastPrinted>
  <dcterms:created xsi:type="dcterms:W3CDTF">2018-10-03T10:48:00Z</dcterms:created>
  <dcterms:modified xsi:type="dcterms:W3CDTF">2020-08-25T10:27:00Z</dcterms:modified>
</cp:coreProperties>
</file>